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8378" w14:textId="035CC02A" w:rsidR="00457FB4" w:rsidRPr="00787D8B" w:rsidRDefault="00457FB4" w:rsidP="00457FB4">
      <w:pPr>
        <w:jc w:val="both"/>
        <w:rPr>
          <w:b/>
          <w:bCs/>
          <w:iCs/>
          <w:snapToGrid w:val="0"/>
        </w:rPr>
      </w:pPr>
      <w:r w:rsidRPr="00787D8B">
        <w:rPr>
          <w:b/>
          <w:bCs/>
          <w:iCs/>
          <w:snapToGrid w:val="0"/>
        </w:rPr>
        <w:t>Avviso di selezione n° ISTC-AdR-4</w:t>
      </w:r>
      <w:r w:rsidR="00E7161D">
        <w:rPr>
          <w:b/>
          <w:bCs/>
          <w:iCs/>
          <w:snapToGrid w:val="0"/>
        </w:rPr>
        <w:t>13</w:t>
      </w:r>
      <w:r w:rsidRPr="00787D8B">
        <w:rPr>
          <w:b/>
          <w:bCs/>
          <w:iCs/>
          <w:snapToGrid w:val="0"/>
        </w:rPr>
        <w:t>-2024-RM</w:t>
      </w:r>
    </w:p>
    <w:p w14:paraId="74EB7ECA" w14:textId="77777777" w:rsidR="00457FB4" w:rsidRPr="007A50D2" w:rsidRDefault="00457FB4" w:rsidP="00457FB4">
      <w:pPr>
        <w:jc w:val="both"/>
        <w:rPr>
          <w:snapToGrid w:val="0"/>
        </w:rPr>
      </w:pPr>
    </w:p>
    <w:p w14:paraId="096BF051" w14:textId="207D0151" w:rsidR="00457FB4" w:rsidRDefault="00457FB4" w:rsidP="00457FB4">
      <w:pPr>
        <w:jc w:val="both"/>
        <w:rPr>
          <w:color w:val="000000"/>
          <w:shd w:val="clear" w:color="auto" w:fill="FFFFFF"/>
        </w:rPr>
      </w:pPr>
      <w:r>
        <w:rPr>
          <w:iCs/>
          <w:snapToGrid w:val="0"/>
        </w:rPr>
        <w:t>PUBBLICA SELEZ</w:t>
      </w:r>
      <w:r w:rsidR="00F566FB">
        <w:rPr>
          <w:iCs/>
          <w:snapToGrid w:val="0"/>
        </w:rPr>
        <w:t>IONE PER IL CONFERIMENTO DI N° 2 ASSEGNI</w:t>
      </w:r>
      <w:r>
        <w:rPr>
          <w:iCs/>
          <w:snapToGrid w:val="0"/>
        </w:rPr>
        <w:t xml:space="preserve"> </w:t>
      </w:r>
      <w:r w:rsidR="00F566FB">
        <w:rPr>
          <w:iCs/>
          <w:snapToGrid w:val="0"/>
        </w:rPr>
        <w:t>PROFESSIONALIZZANTI</w:t>
      </w:r>
      <w:r>
        <w:rPr>
          <w:iCs/>
          <w:snapToGrid w:val="0"/>
        </w:rPr>
        <w:t xml:space="preserve"> PER LO SVOLGIMENTO DI ATTIVITÀ DI RICERCA NELL’AMBITO DEL PROGRAMMA DI RICERCA “</w:t>
      </w:r>
      <w:r w:rsidRPr="00787D8B">
        <w:rPr>
          <w:iCs/>
          <w:snapToGrid w:val="0"/>
          <w:szCs w:val="24"/>
        </w:rPr>
        <w:t>COBRA-</w:t>
      </w:r>
      <w:r w:rsidRPr="00787D8B">
        <w:rPr>
          <w:color w:val="000000"/>
          <w:szCs w:val="24"/>
          <w:shd w:val="clear" w:color="auto" w:fill="FFFFFF"/>
        </w:rPr>
        <w:t xml:space="preserve">Cooperation and Brain-Synchrony in human and non-human subjects: a multiscale and translable study”, </w:t>
      </w:r>
      <w:r>
        <w:rPr>
          <w:color w:val="000000"/>
          <w:szCs w:val="24"/>
          <w:shd w:val="clear" w:color="auto" w:fill="FFFFFF"/>
        </w:rPr>
        <w:t>n. P</w:t>
      </w:r>
      <w:r w:rsidRPr="00787D8B">
        <w:rPr>
          <w:color w:val="000000"/>
          <w:szCs w:val="24"/>
          <w:shd w:val="clear" w:color="auto" w:fill="FFFFFF"/>
        </w:rPr>
        <w:t>2022JZRWS</w:t>
      </w:r>
      <w:r w:rsidR="001F2BAF">
        <w:rPr>
          <w:color w:val="000000"/>
          <w:szCs w:val="24"/>
          <w:shd w:val="clear" w:color="auto" w:fill="FFFFFF"/>
        </w:rPr>
        <w:t xml:space="preserve"> </w:t>
      </w:r>
      <w:r w:rsidRPr="00787D8B">
        <w:rPr>
          <w:color w:val="000000"/>
          <w:szCs w:val="24"/>
          <w:shd w:val="clear" w:color="auto" w:fill="FFFFFF"/>
        </w:rPr>
        <w:t xml:space="preserve">- Finanziato nell’ambito del PRIN </w:t>
      </w:r>
      <w:r>
        <w:rPr>
          <w:color w:val="000000"/>
          <w:szCs w:val="24"/>
          <w:shd w:val="clear" w:color="auto" w:fill="FFFFFF"/>
        </w:rPr>
        <w:t xml:space="preserve">2022 </w:t>
      </w:r>
      <w:r w:rsidRPr="00787D8B">
        <w:rPr>
          <w:color w:val="000000"/>
          <w:szCs w:val="24"/>
          <w:shd w:val="clear" w:color="auto" w:fill="FFFFFF"/>
        </w:rPr>
        <w:t xml:space="preserve">PNRR </w:t>
      </w:r>
      <w:r w:rsidR="00C00DAA" w:rsidRPr="00C00DAA">
        <w:rPr>
          <w:rFonts w:cs="Times New Roman"/>
          <w:color w:val="000000"/>
          <w:szCs w:val="24"/>
          <w:shd w:val="clear" w:color="auto" w:fill="FFFFFF"/>
        </w:rPr>
        <w:t>cod.prog. n.PRR.PN001.004</w:t>
      </w:r>
      <w:r w:rsidR="00C00DAA">
        <w:rPr>
          <w:rFonts w:cs="Times New Roman"/>
          <w:color w:val="000000"/>
          <w:szCs w:val="24"/>
          <w:shd w:val="clear" w:color="auto" w:fill="FFFFFF"/>
        </w:rPr>
        <w:t xml:space="preserve">, </w:t>
      </w:r>
      <w:r w:rsidRPr="00787D8B">
        <w:rPr>
          <w:color w:val="000000"/>
          <w:shd w:val="clear" w:color="auto" w:fill="FFFFFF"/>
        </w:rPr>
        <w:t>CUP B53D23026570001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705B351" w14:textId="475954CD" w:rsidR="00457FB4" w:rsidRPr="00281F6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00E7161D">
        <w:t>A</w:t>
      </w:r>
      <w:r w:rsidRPr="00281F60">
        <w:t xml:space="preserve">) </w:t>
      </w:r>
      <w:r w:rsidRPr="00281F60">
        <w:rPr>
          <w:b/>
          <w:bCs/>
        </w:rPr>
        <w:t>“</w:t>
      </w:r>
      <w:r w:rsidR="005220DA">
        <w:rPr>
          <w:b/>
          <w:bCs/>
        </w:rPr>
        <w:t>A</w:t>
      </w:r>
      <w:r w:rsidRPr="00281F60">
        <w:rPr>
          <w:b/>
          <w:bCs/>
        </w:rPr>
        <w:t xml:space="preserve">ssegno di ricerca </w:t>
      </w:r>
      <w:r w:rsidR="00E7161D">
        <w:rPr>
          <w:b/>
          <w:bCs/>
        </w:rPr>
        <w:t>professionalizzante</w:t>
      </w:r>
      <w:r w:rsidRPr="00281F60">
        <w:rPr>
          <w:b/>
          <w:bCs/>
        </w:rPr>
        <w:t>”</w:t>
      </w:r>
    </w:p>
    <w:p w14:paraId="40BD059D" w14:textId="77777777" w:rsidR="00457FB4" w:rsidRPr="007A50D2" w:rsidRDefault="00457FB4" w:rsidP="00457FB4">
      <w:pPr>
        <w:jc w:val="both"/>
        <w:rPr>
          <w:iCs/>
          <w:snapToGrid w:val="0"/>
          <w:sz w:val="16"/>
          <w:szCs w:val="16"/>
        </w:rPr>
      </w:pPr>
    </w:p>
    <w:p w14:paraId="2E8D340C" w14:textId="77777777" w:rsidR="00457FB4" w:rsidRPr="00C81940" w:rsidRDefault="00457FB4" w:rsidP="00457FB4">
      <w:pPr>
        <w:pStyle w:val="Titolo1"/>
        <w:keepNext w:val="0"/>
        <w:rPr>
          <w:b/>
          <w:bCs/>
          <w:iCs/>
          <w:sz w:val="24"/>
        </w:rPr>
      </w:pPr>
      <w:r w:rsidRPr="00C81940">
        <w:rPr>
          <w:bCs/>
          <w:iCs/>
          <w:sz w:val="24"/>
        </w:rPr>
        <w:t>IL DIRETTORE</w:t>
      </w:r>
    </w:p>
    <w:p w14:paraId="7A128C4B" w14:textId="77777777" w:rsidR="00457FB4" w:rsidRPr="007A50D2" w:rsidRDefault="00457FB4" w:rsidP="00457FB4">
      <w:pPr>
        <w:jc w:val="both"/>
        <w:rPr>
          <w:snapToGrid w:val="0"/>
          <w:sz w:val="16"/>
          <w:szCs w:val="16"/>
        </w:rPr>
      </w:pPr>
    </w:p>
    <w:p w14:paraId="349D1494"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4 giugno 2003, n. 127 recante “Riordino del Consiglio Nazionale delle Ricerche”;</w:t>
      </w:r>
    </w:p>
    <w:p w14:paraId="092B4B02"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31 dicembre 2009, n. 213 recante “Riordino degli enti di ricerca in attuazione dell’art. 1 della legge 27 settembre 2007 n. 165”;</w:t>
      </w:r>
    </w:p>
    <w:p w14:paraId="5CE94C03"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VISTO</w:t>
      </w:r>
      <w:r w:rsidRPr="00C81940">
        <w:rPr>
          <w:rFonts w:cs="Times New Roman"/>
          <w:bCs/>
          <w:snapToGrid w:val="0"/>
          <w:sz w:val="20"/>
        </w:rPr>
        <w:t xml:space="preserve"> lo Statuto</w:t>
      </w:r>
      <w:r w:rsidRPr="00C81940">
        <w:rPr>
          <w:rFonts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D160972" w14:textId="77777777" w:rsidR="00457FB4" w:rsidRPr="00C81940" w:rsidRDefault="00457FB4" w:rsidP="00457FB4">
      <w:pPr>
        <w:spacing w:after="120"/>
        <w:jc w:val="both"/>
        <w:rPr>
          <w:rFonts w:cs="Times New Roman"/>
          <w:sz w:val="20"/>
        </w:rPr>
      </w:pPr>
      <w:r w:rsidRPr="00C81940">
        <w:rPr>
          <w:rFonts w:cs="Times New Roman"/>
          <w:b/>
          <w:sz w:val="20"/>
        </w:rPr>
        <w:t xml:space="preserve">VISTO </w:t>
      </w:r>
      <w:r w:rsidRPr="00C81940">
        <w:rPr>
          <w:rFonts w:cs="Times New Roman"/>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51754C01"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snapToGrid w:val="0"/>
          <w:sz w:val="20"/>
        </w:rPr>
        <w:t>il D.P.R. 28 dicembre 2000, n. 445 concernente “T.U. delle disposizioni legislative e regolamentari in materia di documentazione amministrativa” e successive modificazioni;</w:t>
      </w:r>
    </w:p>
    <w:p w14:paraId="1BF1AA4B" w14:textId="77777777" w:rsidR="00457FB4" w:rsidRPr="00C81940" w:rsidRDefault="00457FB4" w:rsidP="00457FB4">
      <w:pPr>
        <w:spacing w:after="120"/>
        <w:jc w:val="both"/>
        <w:rPr>
          <w:rFonts w:cs="Times New Roman"/>
          <w:b/>
          <w:iCs/>
          <w:sz w:val="20"/>
        </w:rPr>
      </w:pPr>
      <w:r w:rsidRPr="00C81940">
        <w:rPr>
          <w:rFonts w:cs="Times New Roman"/>
          <w:b/>
          <w:snapToGrid w:val="0"/>
          <w:sz w:val="20"/>
        </w:rPr>
        <w:t>VISTO</w:t>
      </w:r>
      <w:r w:rsidRPr="00C81940">
        <w:rPr>
          <w:rFonts w:cs="Times New Roman"/>
          <w:bCs/>
          <w:snapToGrid w:val="0"/>
          <w:sz w:val="20"/>
        </w:rPr>
        <w:t xml:space="preserve"> il D.Lgs 30 giugno 2003, n. 196, concernente “Codice in materia di protezione dei dati personali”;</w:t>
      </w:r>
      <w:r w:rsidRPr="00C81940">
        <w:rPr>
          <w:rFonts w:cs="Times New Roman"/>
          <w:b/>
          <w:iCs/>
          <w:sz w:val="20"/>
        </w:rPr>
        <w:t xml:space="preserve"> </w:t>
      </w:r>
    </w:p>
    <w:p w14:paraId="211EB040" w14:textId="77777777" w:rsidR="00457FB4" w:rsidRPr="00C81940" w:rsidRDefault="00457FB4" w:rsidP="00457FB4">
      <w:pPr>
        <w:spacing w:after="120"/>
        <w:jc w:val="both"/>
        <w:rPr>
          <w:rFonts w:cs="Times New Roman"/>
          <w:iCs/>
          <w:sz w:val="20"/>
        </w:rPr>
      </w:pPr>
      <w:r w:rsidRPr="00C81940">
        <w:rPr>
          <w:rFonts w:cs="Times New Roman"/>
          <w:b/>
          <w:iCs/>
          <w:sz w:val="20"/>
        </w:rPr>
        <w:t xml:space="preserve">VISTO </w:t>
      </w:r>
      <w:r w:rsidRPr="00C81940">
        <w:rPr>
          <w:rFonts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15C5926" w14:textId="77777777" w:rsidR="00457FB4" w:rsidRPr="00C81940" w:rsidRDefault="00457FB4" w:rsidP="00457FB4">
      <w:pPr>
        <w:spacing w:after="120"/>
        <w:jc w:val="both"/>
        <w:rPr>
          <w:rFonts w:cs="Times New Roman"/>
          <w:snapToGrid w:val="0"/>
          <w:sz w:val="20"/>
          <w:u w:val="single"/>
        </w:rPr>
      </w:pPr>
      <w:r w:rsidRPr="00C81940">
        <w:rPr>
          <w:rFonts w:cs="Times New Roman"/>
          <w:b/>
          <w:bCs/>
          <w:snapToGrid w:val="0"/>
          <w:sz w:val="20"/>
        </w:rPr>
        <w:t>VISTO</w:t>
      </w:r>
      <w:r w:rsidRPr="00C81940">
        <w:rPr>
          <w:rFonts w:cs="Times New Roman"/>
          <w:bCs/>
          <w:i/>
          <w:iCs/>
          <w:snapToGrid w:val="0"/>
          <w:sz w:val="20"/>
        </w:rPr>
        <w:t xml:space="preserve"> </w:t>
      </w:r>
      <w:r w:rsidRPr="00C81940">
        <w:rPr>
          <w:rFonts w:cs="Times New Roman"/>
          <w:snapToGrid w:val="0"/>
          <w:sz w:val="20"/>
        </w:rPr>
        <w:t>l'art. 22, della legge 30 dicembre 2010, n. 240 entrata in vigore il 29 gennaio 2011</w:t>
      </w:r>
      <w:r w:rsidRPr="00C81940">
        <w:rPr>
          <w:rFonts w:cs="Times New Roman"/>
          <w:snapToGrid w:val="0"/>
          <w:sz w:val="20"/>
          <w:u w:val="single"/>
        </w:rPr>
        <w:t>;</w:t>
      </w:r>
    </w:p>
    <w:p w14:paraId="3ED4CEBC" w14:textId="77777777" w:rsidR="00457FB4" w:rsidRPr="00C81940" w:rsidRDefault="00457FB4" w:rsidP="00457FB4">
      <w:pPr>
        <w:spacing w:after="120"/>
        <w:jc w:val="both"/>
        <w:rPr>
          <w:rFonts w:cs="Times New Roman"/>
          <w:i/>
          <w:iCs/>
          <w:snapToGrid w:val="0"/>
          <w:sz w:val="20"/>
        </w:rPr>
      </w:pPr>
      <w:r w:rsidRPr="00C81940">
        <w:rPr>
          <w:rFonts w:cs="Times New Roman"/>
          <w:b/>
          <w:bCs/>
          <w:snapToGrid w:val="0"/>
          <w:sz w:val="20"/>
        </w:rPr>
        <w:t>VISTO</w:t>
      </w:r>
      <w:r w:rsidRPr="00C81940">
        <w:rPr>
          <w:rFonts w:cs="Times New Roman"/>
          <w:snapToGrid w:val="0"/>
          <w:sz w:val="20"/>
        </w:rPr>
        <w:t xml:space="preserve"> l’art. 14, comma 6 </w:t>
      </w:r>
      <w:r w:rsidRPr="00C81940">
        <w:rPr>
          <w:rFonts w:cs="Times New Roman"/>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050BEA8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CONSIDERATO</w:t>
      </w:r>
      <w:r w:rsidRPr="00C81940">
        <w:rPr>
          <w:rFonts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530E38F" w14:textId="77777777" w:rsidR="00457FB4" w:rsidRPr="00C81940" w:rsidRDefault="00457FB4" w:rsidP="00457FB4">
      <w:pPr>
        <w:pStyle w:val="NormaleWeb"/>
        <w:spacing w:before="0" w:beforeAutospacing="0" w:after="120" w:afterAutospacing="0"/>
        <w:jc w:val="both"/>
        <w:rPr>
          <w:snapToGrid w:val="0"/>
          <w:sz w:val="20"/>
          <w:szCs w:val="20"/>
        </w:rPr>
      </w:pPr>
      <w:r w:rsidRPr="00C81940">
        <w:rPr>
          <w:b/>
          <w:bCs/>
          <w:snapToGrid w:val="0"/>
          <w:sz w:val="20"/>
          <w:szCs w:val="20"/>
        </w:rPr>
        <w:t>CONSIDERATO</w:t>
      </w:r>
      <w:r w:rsidRPr="00C81940">
        <w:rPr>
          <w:snapToGrid w:val="0"/>
          <w:sz w:val="20"/>
          <w:szCs w:val="20"/>
        </w:rPr>
        <w:t xml:space="preserve"> che </w:t>
      </w:r>
      <w:r w:rsidRPr="00C81940">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81940">
        <w:rPr>
          <w:snapToGrid w:val="0"/>
          <w:sz w:val="20"/>
          <w:szCs w:val="20"/>
        </w:rPr>
        <w:t xml:space="preserve">14 della Legge 29 giugno 2022, n. 79, comma 6-quaterdecies stabilendo che </w:t>
      </w:r>
      <w:r w:rsidRPr="00C81940">
        <w:rPr>
          <w:snapToGrid w:val="0"/>
          <w:sz w:val="20"/>
          <w:szCs w:val="20"/>
        </w:rPr>
        <w:lastRenderedPageBreak/>
        <w:t>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81940">
          <w:rPr>
            <w:rStyle w:val="Collegamentoipertestuale"/>
            <w:snapToGrid w:val="0"/>
            <w:color w:val="auto"/>
            <w:sz w:val="20"/>
            <w:szCs w:val="20"/>
          </w:rPr>
          <w:t>articolo 22 della legge 30 dicembre  2010,  n.  240</w:t>
        </w:r>
      </w:hyperlink>
      <w:r w:rsidRPr="00C81940">
        <w:rPr>
          <w:snapToGrid w:val="0"/>
          <w:sz w:val="20"/>
          <w:szCs w:val="20"/>
        </w:rPr>
        <w:t>;</w:t>
      </w:r>
    </w:p>
    <w:p w14:paraId="6F3B3D3C" w14:textId="26F80FC2" w:rsidR="009C7A7C" w:rsidRDefault="009C7A7C" w:rsidP="009C7A7C">
      <w:pPr>
        <w:jc w:val="both"/>
        <w:rPr>
          <w:rFonts w:cs="Times New Roman"/>
          <w:sz w:val="20"/>
        </w:rPr>
      </w:pPr>
      <w:r w:rsidRPr="009C7A7C">
        <w:rPr>
          <w:rFonts w:cs="Times New Roman"/>
          <w:b/>
          <w:bCs/>
          <w:snapToGrid w:val="0"/>
          <w:sz w:val="20"/>
        </w:rPr>
        <w:t xml:space="preserve">CONSIDERATO </w:t>
      </w:r>
      <w:r w:rsidRPr="009C7A7C">
        <w:rPr>
          <w:rFonts w:cs="Times New Roman"/>
          <w:snapToGrid w:val="0"/>
          <w:sz w:val="20"/>
        </w:rPr>
        <w:t xml:space="preserve">che </w:t>
      </w:r>
      <w:r w:rsidRPr="009C7A7C">
        <w:rPr>
          <w:rFonts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9C7A7C">
        <w:rPr>
          <w:rFonts w:cs="Times New Roman"/>
          <w:snapToGrid w:val="0"/>
          <w:sz w:val="20"/>
        </w:rPr>
        <w:t xml:space="preserve">14 </w:t>
      </w:r>
      <w:r w:rsidRPr="009C7A7C">
        <w:rPr>
          <w:rFonts w:cs="Times New Roman"/>
          <w:sz w:val="20"/>
        </w:rPr>
        <w:t>comma</w:t>
      </w:r>
      <w:r w:rsidRPr="009C7A7C">
        <w:rPr>
          <w:rFonts w:cs="Times New Roman"/>
          <w:snapToGrid w:val="0"/>
          <w:sz w:val="20"/>
        </w:rPr>
        <w:t xml:space="preserve"> 6-quaterdecies del decreto legge 30 aprile 2022, n. 36, </w:t>
      </w:r>
      <w:r w:rsidRPr="009C7A7C">
        <w:rPr>
          <w:rFonts w:cs="Times New Roman"/>
          <w:sz w:val="20"/>
        </w:rPr>
        <w:t xml:space="preserve">convertito, con  modificazioni, dalla legge 29 giugno 2022, n. 79, che ha prorogato </w:t>
      </w:r>
      <w:r w:rsidRPr="009C7A7C">
        <w:rPr>
          <w:rFonts w:cs="Times New Roman"/>
          <w:snapToGrid w:val="0"/>
          <w:sz w:val="20"/>
        </w:rPr>
        <w:t>fino al 31 luglio  2024 la possibilità di indire procedure per il conferimento di assegni di ricerca ai  sensi dell'</w:t>
      </w:r>
      <w:hyperlink r:id="rId13" w:tgtFrame="_blank" w:history="1">
        <w:r w:rsidRPr="009C7A7C">
          <w:rPr>
            <w:rStyle w:val="Collegamentoipertestuale"/>
            <w:rFonts w:cs="Times New Roman"/>
            <w:snapToGrid w:val="0"/>
            <w:sz w:val="20"/>
          </w:rPr>
          <w:t>articolo 22 della legge 30 dicembre  2010, n. 240</w:t>
        </w:r>
      </w:hyperlink>
      <w:r w:rsidRPr="009C7A7C">
        <w:rPr>
          <w:rStyle w:val="Collegamentoipertestuale"/>
          <w:rFonts w:cs="Times New Roman"/>
          <w:snapToGrid w:val="0"/>
          <w:sz w:val="20"/>
        </w:rPr>
        <w:t xml:space="preserve"> </w:t>
      </w:r>
      <w:r w:rsidRPr="009C7A7C">
        <w:rPr>
          <w:rFonts w:cs="Times New Roman"/>
          <w:snapToGrid w:val="0"/>
          <w:sz w:val="20"/>
        </w:rPr>
        <w:t>da parte delle università, istituzioni ed enti pubblici di ricerca</w:t>
      </w:r>
      <w:r w:rsidRPr="009C7A7C">
        <w:rPr>
          <w:rStyle w:val="Collegamentoipertestuale"/>
          <w:rFonts w:cs="Times New Roman"/>
          <w:snapToGrid w:val="0"/>
          <w:sz w:val="20"/>
        </w:rPr>
        <w:t xml:space="preserve">, </w:t>
      </w:r>
      <w:r w:rsidRPr="009C7A7C">
        <w:rPr>
          <w:rFonts w:cs="Times New Roman"/>
          <w:snapToGrid w:val="0"/>
          <w:sz w:val="20"/>
        </w:rPr>
        <w:t>limitatamente  alle risorse già programmate, ovvero deliberate dai rispettivi organi di governo entro il predetto termine</w:t>
      </w:r>
      <w:r w:rsidRPr="009C7A7C">
        <w:rPr>
          <w:rFonts w:cs="Times New Roman"/>
          <w:sz w:val="20"/>
        </w:rPr>
        <w:t>;</w:t>
      </w:r>
    </w:p>
    <w:p w14:paraId="15815D72" w14:textId="77777777" w:rsidR="009C7A7C" w:rsidRPr="009C7A7C" w:rsidRDefault="009C7A7C" w:rsidP="009C7A7C">
      <w:pPr>
        <w:jc w:val="both"/>
        <w:rPr>
          <w:rFonts w:cs="Times New Roman"/>
          <w:sz w:val="20"/>
        </w:rPr>
      </w:pPr>
    </w:p>
    <w:p w14:paraId="4EA915FD" w14:textId="1EEA9B55" w:rsidR="009C7A7C" w:rsidRDefault="009C7A7C" w:rsidP="009C7A7C">
      <w:pPr>
        <w:jc w:val="both"/>
        <w:rPr>
          <w:rFonts w:cs="Times New Roman"/>
          <w:snapToGrid w:val="0"/>
          <w:sz w:val="20"/>
        </w:rPr>
      </w:pPr>
      <w:r w:rsidRPr="009C7A7C">
        <w:rPr>
          <w:rFonts w:cs="Times New Roman"/>
          <w:b/>
          <w:bCs/>
          <w:snapToGrid w:val="0"/>
          <w:sz w:val="20"/>
        </w:rPr>
        <w:t xml:space="preserve">CONSIDERATO </w:t>
      </w:r>
      <w:r w:rsidRPr="009C7A7C">
        <w:rPr>
          <w:rFonts w:cs="Times New Roman"/>
          <w:snapToGrid w:val="0"/>
          <w:sz w:val="20"/>
        </w:rPr>
        <w:t xml:space="preserve">che </w:t>
      </w:r>
      <w:r w:rsidRPr="009C7A7C">
        <w:rPr>
          <w:rFonts w:cs="Times New Roman"/>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9C7A7C">
        <w:rPr>
          <w:rFonts w:cs="Times New Roman"/>
          <w:snapToGrid w:val="0"/>
          <w:sz w:val="20"/>
        </w:rPr>
        <w:t>la possibilità di indire procedure per il conferimento di assegni di ricerca ai  sensi dell'</w:t>
      </w:r>
      <w:hyperlink r:id="rId14" w:tgtFrame="_blank" w:history="1">
        <w:r w:rsidRPr="009C7A7C">
          <w:rPr>
            <w:rStyle w:val="Collegamentoipertestuale"/>
            <w:rFonts w:cs="Times New Roman"/>
            <w:snapToGrid w:val="0"/>
            <w:sz w:val="20"/>
          </w:rPr>
          <w:t>articolo 22 della legge 30 dicembre  2010, n. 240</w:t>
        </w:r>
      </w:hyperlink>
      <w:r w:rsidRPr="009C7A7C">
        <w:rPr>
          <w:rStyle w:val="Collegamentoipertestuale"/>
          <w:rFonts w:cs="Times New Roman"/>
          <w:snapToGrid w:val="0"/>
          <w:sz w:val="20"/>
        </w:rPr>
        <w:t xml:space="preserve"> </w:t>
      </w:r>
      <w:r w:rsidRPr="009C7A7C">
        <w:rPr>
          <w:rFonts w:cs="Times New Roman"/>
          <w:snapToGrid w:val="0"/>
          <w:sz w:val="20"/>
        </w:rPr>
        <w:t>da parte delle università, istituzioni ed enti pubblici di ricerca</w:t>
      </w:r>
      <w:r w:rsidRPr="009C7A7C">
        <w:rPr>
          <w:rStyle w:val="Collegamentoipertestuale"/>
          <w:rFonts w:cs="Times New Roman"/>
          <w:snapToGrid w:val="0"/>
          <w:sz w:val="20"/>
        </w:rPr>
        <w:t>, fino al 31 dicembre 2024</w:t>
      </w:r>
      <w:r w:rsidRPr="009C7A7C">
        <w:rPr>
          <w:rFonts w:cs="Times New Roman"/>
          <w:snapToGrid w:val="0"/>
          <w:sz w:val="20"/>
        </w:rPr>
        <w:t xml:space="preserve">; </w:t>
      </w:r>
    </w:p>
    <w:p w14:paraId="2955D935" w14:textId="77777777" w:rsidR="009C7A7C" w:rsidRPr="009C7A7C" w:rsidRDefault="009C7A7C" w:rsidP="009C7A7C">
      <w:pPr>
        <w:jc w:val="both"/>
        <w:rPr>
          <w:rFonts w:cs="Times New Roman"/>
          <w:sz w:val="20"/>
          <w:lang w:eastAsia="en-US"/>
        </w:rPr>
      </w:pPr>
    </w:p>
    <w:p w14:paraId="4179073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VISTO</w:t>
      </w:r>
      <w:r w:rsidRPr="00C81940">
        <w:rPr>
          <w:rFonts w:cs="Times New Roman"/>
          <w:bCs/>
          <w:snapToGrid w:val="0"/>
          <w:sz w:val="20"/>
        </w:rPr>
        <w:t xml:space="preserve"> </w:t>
      </w:r>
      <w:r w:rsidRPr="00C81940">
        <w:rPr>
          <w:rFonts w:cs="Times New Roman"/>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B16A31E"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VISTO</w:t>
      </w:r>
      <w:r w:rsidRPr="00C81940">
        <w:rPr>
          <w:sz w:val="20"/>
          <w:szCs w:val="20"/>
        </w:rPr>
        <w:t xml:space="preserve"> il Decreto Ministeriale n. 102 in data 9 marzo 2011, relativo alla definizione dell’importo minimo degli assegni di ricerca;</w:t>
      </w:r>
    </w:p>
    <w:p w14:paraId="0E7CA372"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legge n. 183 dell’11 novembre 2011 ed in particolare l’art. 15 (Legge di stabilità 2012);</w:t>
      </w:r>
    </w:p>
    <w:p w14:paraId="5E971551"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519BA83"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 xml:space="preserve">VISTA </w:t>
      </w:r>
      <w:r w:rsidRPr="00C81940">
        <w:rPr>
          <w:sz w:val="20"/>
          <w:szCs w:val="20"/>
        </w:rPr>
        <w:t>la Legge 4 aprile 2012, n. 35 ed in particolare l’art. 8 comma 1;</w:t>
      </w:r>
    </w:p>
    <w:p w14:paraId="2715179F"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14 marzo 2013, n. 33 recante “Riordino della disciplina riguardante gli obblighi di pubblicità, trasparenza e diffusione di informazioni da parte delle pubbliche amministrazioni”;</w:t>
      </w:r>
    </w:p>
    <w:p w14:paraId="6F37F50B" w14:textId="77777777" w:rsidR="00457FB4" w:rsidRPr="00C81940" w:rsidRDefault="00457FB4" w:rsidP="00457FB4">
      <w:pPr>
        <w:spacing w:before="60"/>
        <w:jc w:val="both"/>
        <w:rPr>
          <w:rFonts w:cs="Times New Roman"/>
          <w:b/>
          <w:bCs/>
          <w:snapToGrid w:val="0"/>
          <w:sz w:val="20"/>
        </w:rPr>
      </w:pPr>
      <w:r w:rsidRPr="00C81940">
        <w:rPr>
          <w:rFonts w:cs="Times New Roman"/>
          <w:b/>
          <w:bCs/>
          <w:snapToGrid w:val="0"/>
          <w:sz w:val="20"/>
        </w:rPr>
        <w:t xml:space="preserve">VISTO </w:t>
      </w:r>
      <w:r w:rsidRPr="00C81940">
        <w:rPr>
          <w:rFonts w:cs="Times New Roman"/>
          <w:bCs/>
          <w:snapToGrid w:val="0"/>
          <w:sz w:val="20"/>
        </w:rPr>
        <w:t>il D.D. 1409 del 14/09/2022 con cui il MUR invita a presentare domande di finanziamento per i PRIN PNRR 2022</w:t>
      </w:r>
      <w:r w:rsidRPr="00C81940">
        <w:rPr>
          <w:rFonts w:cs="Times New Roman"/>
          <w:b/>
          <w:bCs/>
          <w:snapToGrid w:val="0"/>
          <w:sz w:val="20"/>
        </w:rPr>
        <w:t>;</w:t>
      </w:r>
    </w:p>
    <w:p w14:paraId="50C08F5F" w14:textId="77777777" w:rsidR="00457FB4" w:rsidRPr="00C81940" w:rsidRDefault="00457FB4" w:rsidP="00457FB4">
      <w:pPr>
        <w:jc w:val="both"/>
        <w:rPr>
          <w:rFonts w:cs="Times New Roman"/>
          <w:color w:val="000000"/>
          <w:sz w:val="20"/>
          <w:lang w:eastAsia="en-US"/>
        </w:rPr>
      </w:pPr>
      <w:r w:rsidRPr="00C81940">
        <w:rPr>
          <w:rFonts w:cs="Times New Roman"/>
          <w:b/>
          <w:bCs/>
          <w:snapToGrid w:val="0"/>
          <w:sz w:val="20"/>
        </w:rPr>
        <w:t xml:space="preserve">VISTO </w:t>
      </w:r>
      <w:r w:rsidRPr="00C81940">
        <w:rPr>
          <w:rFonts w:cs="Times New Roman"/>
          <w:bCs/>
          <w:snapToGrid w:val="0"/>
          <w:sz w:val="20"/>
        </w:rPr>
        <w:t>il Decreto Nr. 1376 dell’01/09/2023 di ammissione al finanziamento del progetto “</w:t>
      </w:r>
      <w:r w:rsidRPr="00C81940">
        <w:rPr>
          <w:rFonts w:cs="Times New Roman"/>
          <w:i/>
          <w:iCs/>
          <w:snapToGrid w:val="0"/>
          <w:sz w:val="20"/>
        </w:rPr>
        <w:t>COBRA</w:t>
      </w:r>
      <w:r w:rsidRPr="00C81940">
        <w:rPr>
          <w:rFonts w:cs="Times New Roman"/>
          <w:b/>
          <w:i/>
          <w:iCs/>
          <w:snapToGrid w:val="0"/>
          <w:sz w:val="20"/>
        </w:rPr>
        <w:t xml:space="preserve"> </w:t>
      </w:r>
      <w:r w:rsidRPr="00C81940">
        <w:rPr>
          <w:rFonts w:cs="Times New Roman"/>
          <w:color w:val="000000"/>
          <w:sz w:val="20"/>
          <w:shd w:val="clear" w:color="auto" w:fill="FFFFFF"/>
        </w:rPr>
        <w:t>Cooperation and Brain-Synchrony in human and non-human subjects: a multiscale and translable study</w:t>
      </w:r>
      <w:r w:rsidRPr="00C81940">
        <w:rPr>
          <w:rFonts w:cs="Times New Roman"/>
          <w:bCs/>
          <w:snapToGrid w:val="0"/>
          <w:sz w:val="20"/>
        </w:rPr>
        <w:t xml:space="preserve">”, per un importo pari a euro </w:t>
      </w:r>
      <w:r w:rsidRPr="00C81940">
        <w:rPr>
          <w:rFonts w:cs="Times New Roman"/>
          <w:color w:val="000000"/>
          <w:sz w:val="20"/>
        </w:rPr>
        <w:t>92.400;</w:t>
      </w:r>
    </w:p>
    <w:p w14:paraId="54CCE53C" w14:textId="77777777" w:rsidR="00FF4E03" w:rsidRDefault="00FF4E03" w:rsidP="00457FB4">
      <w:pPr>
        <w:jc w:val="both"/>
        <w:rPr>
          <w:rFonts w:cs="Times New Roman"/>
          <w:b/>
          <w:bCs/>
          <w:snapToGrid w:val="0"/>
          <w:sz w:val="20"/>
        </w:rPr>
      </w:pPr>
    </w:p>
    <w:p w14:paraId="06490A67" w14:textId="0137CD55" w:rsidR="00457FB4" w:rsidRPr="00C81940" w:rsidRDefault="00457FB4" w:rsidP="00457FB4">
      <w:pPr>
        <w:jc w:val="both"/>
        <w:rPr>
          <w:rFonts w:cs="Times New Roman"/>
          <w:color w:val="000000"/>
          <w:sz w:val="20"/>
          <w:shd w:val="clear" w:color="auto" w:fill="FFFFFF"/>
        </w:rPr>
      </w:pPr>
      <w:r w:rsidRPr="00C81940">
        <w:rPr>
          <w:rFonts w:cs="Times New Roman"/>
          <w:b/>
          <w:bCs/>
          <w:snapToGrid w:val="0"/>
          <w:sz w:val="20"/>
        </w:rPr>
        <w:t>ACCERTATA</w:t>
      </w:r>
      <w:r w:rsidRPr="00C81940">
        <w:rPr>
          <w:rFonts w:cs="Times New Roman"/>
          <w:snapToGrid w:val="0"/>
          <w:sz w:val="20"/>
        </w:rPr>
        <w:t xml:space="preserve"> la copertura degli oneri derivanti dal conferimento dell’assegno di ricerca con le disponibilità finanziarie provenienti da fondi </w:t>
      </w:r>
      <w:r w:rsidRPr="000F3A73">
        <w:rPr>
          <w:rFonts w:cs="Times New Roman"/>
          <w:snapToGrid w:val="0"/>
          <w:sz w:val="20"/>
        </w:rPr>
        <w:t>PNRR</w:t>
      </w:r>
      <w:r w:rsidRPr="000F3A73">
        <w:rPr>
          <w:rFonts w:cs="Times New Roman"/>
          <w:iCs/>
          <w:snapToGrid w:val="0"/>
          <w:sz w:val="20"/>
        </w:rPr>
        <w:t xml:space="preserve"> per il progetto “COBRA</w:t>
      </w:r>
      <w:r w:rsidRPr="00C81940">
        <w:rPr>
          <w:rFonts w:cs="Times New Roman"/>
          <w:b/>
          <w:i/>
          <w:iCs/>
          <w:snapToGrid w:val="0"/>
          <w:sz w:val="20"/>
        </w:rPr>
        <w:t xml:space="preserve"> </w:t>
      </w:r>
      <w:r w:rsidRPr="00C81940">
        <w:rPr>
          <w:rFonts w:cs="Times New Roman"/>
          <w:color w:val="000000"/>
          <w:sz w:val="20"/>
          <w:shd w:val="clear" w:color="auto" w:fill="FFFFFF"/>
        </w:rPr>
        <w:t xml:space="preserve">Cooperation and Brain-Synchrony in human and non-human subjects: a multiscale and translable study” n. P2022JZRWS- </w:t>
      </w:r>
      <w:r w:rsidR="005220DA">
        <w:rPr>
          <w:rFonts w:cs="Times New Roman"/>
          <w:color w:val="000000"/>
          <w:sz w:val="20"/>
          <w:shd w:val="clear" w:color="auto" w:fill="FFFFFF"/>
        </w:rPr>
        <w:t>f</w:t>
      </w:r>
      <w:r w:rsidRPr="00C81940">
        <w:rPr>
          <w:rFonts w:cs="Times New Roman"/>
          <w:color w:val="000000"/>
          <w:sz w:val="20"/>
          <w:shd w:val="clear" w:color="auto" w:fill="FFFFFF"/>
        </w:rPr>
        <w:t>inanziato nell’ambito del PRIN 2022 PNRR, cod.prog. n.PRR.PN001.004, CUP B53D23026570001</w:t>
      </w:r>
    </w:p>
    <w:p w14:paraId="63C43FCC" w14:textId="77777777" w:rsidR="00FF4E03" w:rsidRDefault="00FF4E03" w:rsidP="00457FB4">
      <w:pPr>
        <w:jc w:val="center"/>
        <w:rPr>
          <w:snapToGrid w:val="0"/>
        </w:rPr>
      </w:pPr>
    </w:p>
    <w:p w14:paraId="29E972F8" w14:textId="77777777" w:rsidR="00FF4E03" w:rsidRDefault="00FF4E03" w:rsidP="00457FB4">
      <w:pPr>
        <w:jc w:val="center"/>
        <w:rPr>
          <w:snapToGrid w:val="0"/>
        </w:rPr>
      </w:pPr>
    </w:p>
    <w:p w14:paraId="366510F7" w14:textId="77777777" w:rsidR="00FF4E03" w:rsidRDefault="00FF4E03" w:rsidP="00457FB4">
      <w:pPr>
        <w:jc w:val="center"/>
        <w:rPr>
          <w:snapToGrid w:val="0"/>
        </w:rPr>
      </w:pPr>
    </w:p>
    <w:p w14:paraId="75142101" w14:textId="7BEC617E" w:rsidR="00457FB4" w:rsidRDefault="00457FB4" w:rsidP="00457FB4">
      <w:pPr>
        <w:jc w:val="center"/>
        <w:rPr>
          <w:snapToGrid w:val="0"/>
        </w:rPr>
      </w:pPr>
      <w:r>
        <w:rPr>
          <w:snapToGrid w:val="0"/>
        </w:rPr>
        <w:lastRenderedPageBreak/>
        <w:t>D I S P O N E</w:t>
      </w:r>
    </w:p>
    <w:p w14:paraId="20431D33" w14:textId="77777777" w:rsidR="00457FB4" w:rsidRDefault="00457FB4" w:rsidP="00457FB4">
      <w:pPr>
        <w:jc w:val="center"/>
        <w:rPr>
          <w:snapToGrid w:val="0"/>
          <w:sz w:val="20"/>
        </w:rPr>
      </w:pPr>
    </w:p>
    <w:p w14:paraId="49C3EE7D" w14:textId="77777777" w:rsidR="00457FB4" w:rsidRPr="00C81940" w:rsidRDefault="00457FB4" w:rsidP="00457FB4">
      <w:pPr>
        <w:pStyle w:val="Titolo1"/>
        <w:keepNext w:val="0"/>
        <w:rPr>
          <w:b/>
          <w:sz w:val="24"/>
        </w:rPr>
      </w:pPr>
      <w:r w:rsidRPr="00C81940">
        <w:rPr>
          <w:b/>
          <w:sz w:val="24"/>
        </w:rPr>
        <w:t>Art. 1</w:t>
      </w:r>
    </w:p>
    <w:p w14:paraId="7CA11DC1" w14:textId="77777777" w:rsidR="00457FB4" w:rsidRPr="00C81940" w:rsidRDefault="00457FB4" w:rsidP="00457FB4">
      <w:pPr>
        <w:pStyle w:val="Titolo1"/>
        <w:keepNext w:val="0"/>
        <w:rPr>
          <w:b/>
          <w:sz w:val="24"/>
        </w:rPr>
      </w:pPr>
      <w:r w:rsidRPr="00C81940">
        <w:rPr>
          <w:b/>
          <w:sz w:val="24"/>
        </w:rPr>
        <w:t>Oggetto della selezione</w:t>
      </w:r>
    </w:p>
    <w:p w14:paraId="4BFF67FA" w14:textId="77777777" w:rsidR="00457FB4" w:rsidRDefault="00457FB4" w:rsidP="00457FB4">
      <w:pPr>
        <w:pStyle w:val="Intestazione"/>
        <w:tabs>
          <w:tab w:val="clear" w:pos="4819"/>
          <w:tab w:val="clear" w:pos="9638"/>
        </w:tabs>
        <w:rPr>
          <w:snapToGrid w:val="0"/>
        </w:rPr>
      </w:pPr>
    </w:p>
    <w:p w14:paraId="2044CD32" w14:textId="7AAB63C7" w:rsidR="00457FB4" w:rsidRPr="009F5165" w:rsidRDefault="00457FB4" w:rsidP="00457FB4">
      <w:pPr>
        <w:jc w:val="both"/>
        <w:rPr>
          <w:color w:val="000000"/>
          <w:szCs w:val="24"/>
          <w:shd w:val="clear" w:color="auto" w:fill="FFFFFF"/>
        </w:rPr>
      </w:pPr>
      <w:r>
        <w:rPr>
          <w:snapToGrid w:val="0"/>
        </w:rPr>
        <w:t>É indetta una selezione pubblica, per titoli e colloq</w:t>
      </w:r>
      <w:r w:rsidR="006C7B99">
        <w:rPr>
          <w:snapToGrid w:val="0"/>
        </w:rPr>
        <w:t xml:space="preserve">uio, per il conferimento </w:t>
      </w:r>
      <w:r w:rsidR="006C7B99" w:rsidRPr="00AD39CD">
        <w:rPr>
          <w:snapToGrid w:val="0"/>
        </w:rPr>
        <w:t>di n. 2</w:t>
      </w:r>
      <w:r w:rsidRPr="00AD39CD">
        <w:rPr>
          <w:snapToGrid w:val="0"/>
        </w:rPr>
        <w:t xml:space="preserve"> </w:t>
      </w:r>
      <w:r w:rsidR="006C7B99" w:rsidRPr="00AD39CD">
        <w:rPr>
          <w:iCs/>
          <w:snapToGrid w:val="0"/>
          <w:szCs w:val="24"/>
        </w:rPr>
        <w:t>Assegni</w:t>
      </w:r>
      <w:r w:rsidRPr="00AD39CD">
        <w:rPr>
          <w:iCs/>
          <w:snapToGrid w:val="0"/>
          <w:szCs w:val="24"/>
        </w:rPr>
        <w:t xml:space="preserve"> </w:t>
      </w:r>
      <w:r w:rsidR="006C7B99" w:rsidRPr="00AD39CD">
        <w:rPr>
          <w:iCs/>
          <w:snapToGrid w:val="0"/>
          <w:szCs w:val="24"/>
        </w:rPr>
        <w:t>professionalizzanti</w:t>
      </w:r>
      <w:r>
        <w:rPr>
          <w:i/>
          <w:iCs/>
          <w:snapToGrid w:val="0"/>
          <w:szCs w:val="24"/>
        </w:rPr>
        <w:t xml:space="preserve"> </w:t>
      </w:r>
      <w:r w:rsidRPr="001032CF">
        <w:rPr>
          <w:snapToGrid w:val="0"/>
        </w:rPr>
        <w:t>per lo svolgimento di attività di ricerca</w:t>
      </w:r>
      <w:r>
        <w:rPr>
          <w:snapToGrid w:val="0"/>
        </w:rPr>
        <w:t xml:space="preserve"> </w:t>
      </w:r>
      <w:r>
        <w:t>inerenti l’Area Scientifica “Scienze Sociali” da svolgersi presso l’</w:t>
      </w:r>
      <w:r>
        <w:rPr>
          <w:i/>
        </w:rPr>
        <w:t xml:space="preserve">Istituto di Scienze e Tecnologie della Cognizione </w:t>
      </w:r>
      <w:r>
        <w:t xml:space="preserve">del CNR che effettua ricerca  nell'ambito del programma di ricerca PRIN </w:t>
      </w:r>
      <w:r w:rsidR="00FE36F7">
        <w:t xml:space="preserve">2022 </w:t>
      </w:r>
      <w:r>
        <w:t>PNRR “</w:t>
      </w:r>
      <w:r w:rsidRPr="00633A9A">
        <w:rPr>
          <w:color w:val="000000"/>
          <w:szCs w:val="24"/>
          <w:shd w:val="clear" w:color="auto" w:fill="FFFFFF"/>
        </w:rPr>
        <w:t>Cooperation and Brain-Synchrony in human and non-human subjects: a multiscale and translable study</w:t>
      </w:r>
      <w:r>
        <w:rPr>
          <w:color w:val="000000"/>
          <w:szCs w:val="24"/>
          <w:shd w:val="clear" w:color="auto" w:fill="FFFFFF"/>
        </w:rPr>
        <w:t>, COBRA”</w:t>
      </w:r>
      <w:r>
        <w:rPr>
          <w:snapToGrid w:val="0"/>
        </w:rPr>
        <w:t xml:space="preserve"> per la seguente tematica: “</w:t>
      </w:r>
      <w:r w:rsidRPr="009F5165">
        <w:rPr>
          <w:color w:val="000000"/>
          <w:szCs w:val="24"/>
          <w:shd w:val="clear" w:color="auto" w:fill="FFFFFF"/>
        </w:rPr>
        <w:t xml:space="preserve">Cooperation and Brain-Synchrony in human and non-human subjects” </w:t>
      </w:r>
      <w:r w:rsidRPr="009F5165">
        <w:rPr>
          <w:shd w:val="clear" w:color="auto" w:fill="FFFFFF"/>
        </w:rPr>
        <w:t>s</w:t>
      </w:r>
      <w:r w:rsidRPr="009F5165">
        <w:rPr>
          <w:snapToGrid w:val="0"/>
        </w:rPr>
        <w:t>otto la responsabilità scientifica</w:t>
      </w:r>
      <w:r w:rsidRPr="009F5165">
        <w:rPr>
          <w:b/>
          <w:snapToGrid w:val="0"/>
        </w:rPr>
        <w:t xml:space="preserve"> </w:t>
      </w:r>
      <w:r w:rsidRPr="009F5165">
        <w:rPr>
          <w:snapToGrid w:val="0"/>
        </w:rPr>
        <w:t>d</w:t>
      </w:r>
      <w:r w:rsidRPr="009F5165">
        <w:t>el dott. Daniele Vilone</w:t>
      </w:r>
    </w:p>
    <w:p w14:paraId="0A80B5CF" w14:textId="77777777" w:rsidR="00457FB4" w:rsidRPr="009F5165" w:rsidRDefault="00457FB4" w:rsidP="00457FB4">
      <w:pPr>
        <w:jc w:val="both"/>
        <w:rPr>
          <w:b/>
          <w:iCs/>
          <w:snapToGrid w:val="0"/>
        </w:rPr>
      </w:pPr>
    </w:p>
    <w:p w14:paraId="06CB73FC" w14:textId="2BA9F14E" w:rsidR="00457FB4" w:rsidRDefault="00457FB4" w:rsidP="00457FB4">
      <w:pPr>
        <w:jc w:val="both"/>
        <w:rPr>
          <w:shd w:val="clear" w:color="auto" w:fill="FFFFFF"/>
        </w:rPr>
      </w:pPr>
      <w:r w:rsidRPr="009F5165">
        <w:rPr>
          <w:b/>
          <w:snapToGrid w:val="0"/>
        </w:rPr>
        <w:t>Programma della ricerca:</w:t>
      </w:r>
      <w:r w:rsidRPr="009F5165">
        <w:rPr>
          <w:snapToGrid w:val="0"/>
        </w:rPr>
        <w:t xml:space="preserve"> </w:t>
      </w:r>
      <w:r w:rsidRPr="009F5165">
        <w:rPr>
          <w:shd w:val="clear" w:color="auto" w:fill="FFFFFF"/>
        </w:rPr>
        <w:t>Studio sperimentale e simulativo sulla sincronizzazione delle attività cerebrali in soggetti che interagiscono mediante un gioco cooperativo. La parte sperimentale sarà condotta  su topi in laboratorio, e con soggetti umani tramite computer. I risultati sperimentali saranno poi estesi a situazioni più generali mediante simulazioni numeriche (per i dettagli vedi Appendice 1).</w:t>
      </w:r>
    </w:p>
    <w:p w14:paraId="319B0844" w14:textId="77777777" w:rsidR="002803F0" w:rsidRDefault="002803F0" w:rsidP="00457FB4">
      <w:pPr>
        <w:jc w:val="both"/>
        <w:rPr>
          <w:b/>
          <w:snapToGrid w:val="0"/>
        </w:rPr>
      </w:pPr>
    </w:p>
    <w:p w14:paraId="462D3D59" w14:textId="77777777" w:rsidR="00457FB4" w:rsidRPr="005220DA" w:rsidRDefault="00457FB4" w:rsidP="00457FB4">
      <w:pPr>
        <w:pStyle w:val="Titolo1"/>
        <w:keepNext w:val="0"/>
        <w:rPr>
          <w:b/>
          <w:sz w:val="24"/>
        </w:rPr>
      </w:pPr>
      <w:r w:rsidRPr="005220DA">
        <w:rPr>
          <w:b/>
          <w:sz w:val="24"/>
        </w:rPr>
        <w:t>Art. 2</w:t>
      </w:r>
    </w:p>
    <w:p w14:paraId="50975F04" w14:textId="77777777" w:rsidR="00457FB4" w:rsidRPr="00A9634F" w:rsidRDefault="00457FB4" w:rsidP="00457FB4">
      <w:pPr>
        <w:jc w:val="center"/>
        <w:rPr>
          <w:b/>
          <w:snapToGrid w:val="0"/>
        </w:rPr>
      </w:pPr>
      <w:r w:rsidRPr="00A9634F">
        <w:rPr>
          <w:b/>
          <w:snapToGrid w:val="0"/>
        </w:rPr>
        <w:t>Durata e importo dell'assegno</w:t>
      </w:r>
    </w:p>
    <w:p w14:paraId="5A24F491" w14:textId="77777777" w:rsidR="00457FB4" w:rsidRPr="00A9634F" w:rsidRDefault="00457FB4" w:rsidP="00457FB4">
      <w:pPr>
        <w:jc w:val="both"/>
        <w:rPr>
          <w:b/>
          <w:snapToGrid w:val="0"/>
        </w:rPr>
      </w:pPr>
    </w:p>
    <w:p w14:paraId="56C74FE4" w14:textId="11FA4583" w:rsidR="00457FB4" w:rsidRPr="00A9634F" w:rsidRDefault="006C7B99" w:rsidP="00457FB4">
      <w:pPr>
        <w:spacing w:after="120"/>
        <w:jc w:val="both"/>
        <w:rPr>
          <w:szCs w:val="24"/>
        </w:rPr>
      </w:pPr>
      <w:r w:rsidRPr="000F3A73">
        <w:rPr>
          <w:snapToGrid w:val="0"/>
          <w:szCs w:val="24"/>
        </w:rPr>
        <w:t xml:space="preserve">Ogni </w:t>
      </w:r>
      <w:r w:rsidR="00457FB4" w:rsidRPr="000F3A73">
        <w:rPr>
          <w:snapToGrid w:val="0"/>
          <w:szCs w:val="24"/>
        </w:rPr>
        <w:t xml:space="preserve">assegno </w:t>
      </w:r>
      <w:r w:rsidR="00457FB4" w:rsidRPr="000F3A73">
        <w:rPr>
          <w:snapToGrid w:val="0"/>
        </w:rPr>
        <w:t xml:space="preserve">di ricerca </w:t>
      </w:r>
      <w:r w:rsidR="00457FB4" w:rsidRPr="000F3A73">
        <w:rPr>
          <w:snapToGrid w:val="0"/>
          <w:szCs w:val="24"/>
        </w:rPr>
        <w:t xml:space="preserve">avrà una durata di </w:t>
      </w:r>
      <w:r w:rsidR="00FF4C57" w:rsidRPr="000F3A73">
        <w:rPr>
          <w:b/>
          <w:snapToGrid w:val="0"/>
          <w:szCs w:val="24"/>
        </w:rPr>
        <w:t>12 (do</w:t>
      </w:r>
      <w:r w:rsidR="00457FB4" w:rsidRPr="000F3A73">
        <w:rPr>
          <w:b/>
          <w:snapToGrid w:val="0"/>
          <w:szCs w:val="24"/>
        </w:rPr>
        <w:t>dici) mesi</w:t>
      </w:r>
      <w:r w:rsidR="00457FB4" w:rsidRPr="00A9634F">
        <w:rPr>
          <w:snapToGrid w:val="0"/>
          <w:szCs w:val="24"/>
        </w:rPr>
        <w:t xml:space="preserve"> </w:t>
      </w:r>
      <w:r w:rsidR="00457FB4" w:rsidRPr="00A9634F">
        <w:rPr>
          <w:szCs w:val="24"/>
        </w:rPr>
        <w:t>e</w:t>
      </w:r>
      <w:r w:rsidR="00457FB4" w:rsidRPr="00E90D48">
        <w:rPr>
          <w:szCs w:val="24"/>
        </w:rPr>
        <w:t xml:space="preserve"> potrà essere oggetto di proroga o rinnovo nel rispetto della normativa nel tempo vigente</w:t>
      </w:r>
      <w:r w:rsidR="00457FB4">
        <w:rPr>
          <w:szCs w:val="24"/>
        </w:rPr>
        <w:t xml:space="preserve">. </w:t>
      </w:r>
    </w:p>
    <w:p w14:paraId="3750C947" w14:textId="77777777" w:rsidR="00457FB4" w:rsidRDefault="00457FB4" w:rsidP="00457FB4">
      <w:pPr>
        <w:autoSpaceDE w:val="0"/>
        <w:autoSpaceDN w:val="0"/>
        <w:spacing w:after="12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1466E67" w14:textId="77777777" w:rsidR="00457FB4" w:rsidRPr="00A9634F" w:rsidRDefault="00457FB4" w:rsidP="00457FB4">
      <w:pPr>
        <w:autoSpaceDE w:val="0"/>
        <w:autoSpaceDN w:val="0"/>
        <w:spacing w:after="12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063570" w14:textId="7E51787E" w:rsidR="00457FB4" w:rsidRPr="004F5942" w:rsidRDefault="00457FB4" w:rsidP="00457FB4">
      <w:pPr>
        <w:jc w:val="both"/>
        <w:rPr>
          <w:i/>
          <w:iCs/>
          <w:snapToGrid w:val="0"/>
          <w:szCs w:val="24"/>
        </w:rPr>
      </w:pPr>
      <w:r w:rsidRPr="009C7A7C">
        <w:rPr>
          <w:snapToGrid w:val="0"/>
        </w:rPr>
        <w:t xml:space="preserve">L'importo dell'assegno di ricerca, corrisposto in rate mensili posticipate, è stabilito in euro </w:t>
      </w:r>
      <w:r w:rsidR="00FF4C57" w:rsidRPr="009C7A7C">
        <w:rPr>
          <w:iCs/>
          <w:snapToGrid w:val="0"/>
          <w:szCs w:val="24"/>
        </w:rPr>
        <w:t>19.367</w:t>
      </w:r>
      <w:r w:rsidRPr="009C7A7C">
        <w:rPr>
          <w:iCs/>
          <w:snapToGrid w:val="0"/>
          <w:szCs w:val="24"/>
        </w:rPr>
        <w:t>,00</w:t>
      </w:r>
      <w:r w:rsidRPr="009C7A7C">
        <w:rPr>
          <w:b/>
          <w:iCs/>
          <w:snapToGrid w:val="0"/>
          <w:szCs w:val="24"/>
        </w:rPr>
        <w:t xml:space="preserve"> </w:t>
      </w:r>
      <w:r w:rsidR="00FF4C57" w:rsidRPr="009C7A7C">
        <w:t>(diciannovemilatrecentosessantasette</w:t>
      </w:r>
      <w:r w:rsidRPr="009C7A7C">
        <w:t>/00)</w:t>
      </w:r>
      <w:r w:rsidR="009C7A7C" w:rsidRPr="009C7A7C">
        <w:t xml:space="preserve"> ciascuno</w:t>
      </w:r>
      <w:r w:rsidRPr="009C7A7C">
        <w:rPr>
          <w:b/>
          <w:iCs/>
          <w:snapToGrid w:val="0"/>
          <w:szCs w:val="24"/>
        </w:rPr>
        <w:t xml:space="preserve">, </w:t>
      </w:r>
      <w:r w:rsidRPr="009C7A7C">
        <w:rPr>
          <w:snapToGrid w:val="0"/>
        </w:rPr>
        <w:t>al netto degli oneri a carico del CNR.</w:t>
      </w:r>
      <w:r w:rsidRPr="005220DA">
        <w:rPr>
          <w:snapToGrid w:val="0"/>
        </w:rPr>
        <w:t xml:space="preserve"> </w:t>
      </w:r>
      <w:r w:rsidRPr="005220DA">
        <w:rPr>
          <w:iCs/>
          <w:snapToGrid w:val="0"/>
          <w:szCs w:val="24"/>
        </w:rPr>
        <w:t xml:space="preserve">(art. 9 c.3,4 </w:t>
      </w:r>
      <w:r w:rsidRPr="005220DA">
        <w:rPr>
          <w:iCs/>
          <w:snapToGrid w:val="0"/>
          <w:szCs w:val="24"/>
        </w:rPr>
        <w:lastRenderedPageBreak/>
        <w:t>del Disciplinare).</w:t>
      </w:r>
      <w:r w:rsidRPr="00A9634F">
        <w:rPr>
          <w:i/>
          <w:iCs/>
          <w:snapToGrid w:val="0"/>
          <w:szCs w:val="24"/>
        </w:rPr>
        <w:t xml:space="preserve"> </w:t>
      </w:r>
      <w:r w:rsidRPr="00A9634F">
        <w:rPr>
          <w:snapToGrid w:val="0"/>
        </w:rPr>
        <w:t xml:space="preserve">L'importo dell'assegno può essere derogato per la tipologia di assegni di ricerca grant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673D0997" w14:textId="77777777" w:rsidR="00457FB4" w:rsidRDefault="00457FB4" w:rsidP="00457FB4">
      <w:pPr>
        <w:spacing w:after="120"/>
        <w:contextualSpacing/>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BA5C218" w14:textId="77777777" w:rsidR="00457FB4" w:rsidRDefault="00457FB4" w:rsidP="00457FB4">
      <w:pPr>
        <w:spacing w:after="120"/>
        <w:contextualSpacing/>
        <w:jc w:val="both"/>
        <w:rPr>
          <w:bCs/>
          <w:snapToGrid w:val="0"/>
        </w:rPr>
      </w:pPr>
      <w:r w:rsidRPr="00866F16">
        <w:rPr>
          <w:bCs/>
          <w:snapToGrid w:val="0"/>
        </w:rPr>
        <w:t>L’assegnista è coperto da una polizza infortuni cumulativa sottoscritta dal CNR.</w:t>
      </w:r>
    </w:p>
    <w:p w14:paraId="1113DD33" w14:textId="77777777" w:rsidR="00457FB4" w:rsidRDefault="00457FB4" w:rsidP="00457FB4">
      <w:pPr>
        <w:spacing w:after="120"/>
        <w:contextualSpacing/>
        <w:jc w:val="both"/>
        <w:rPr>
          <w:szCs w:val="24"/>
        </w:rPr>
      </w:pPr>
      <w:r w:rsidRPr="000D53AF">
        <w:rPr>
          <w:bCs/>
          <w:snapToGrid w:val="0"/>
          <w:szCs w:val="24"/>
        </w:rPr>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4219B622" w14:textId="77777777" w:rsidR="00457FB4" w:rsidRDefault="00457FB4" w:rsidP="00457FB4">
      <w:pPr>
        <w:rPr>
          <w:b/>
          <w:snapToGrid w:val="0"/>
        </w:rPr>
      </w:pPr>
    </w:p>
    <w:p w14:paraId="6F6D1090" w14:textId="77777777" w:rsidR="00457FB4" w:rsidRPr="005220DA" w:rsidRDefault="00457FB4" w:rsidP="00457FB4">
      <w:pPr>
        <w:pStyle w:val="Titolo5"/>
        <w:keepNext w:val="0"/>
        <w:jc w:val="center"/>
        <w:rPr>
          <w:rFonts w:ascii="Times New Roman" w:hAnsi="Times New Roman" w:cs="Times New Roman"/>
          <w:b/>
          <w:color w:val="auto"/>
        </w:rPr>
      </w:pPr>
      <w:r w:rsidRPr="005220DA">
        <w:rPr>
          <w:rFonts w:ascii="Times New Roman" w:hAnsi="Times New Roman" w:cs="Times New Roman"/>
          <w:b/>
          <w:color w:val="auto"/>
        </w:rPr>
        <w:t>Art. 3</w:t>
      </w:r>
    </w:p>
    <w:p w14:paraId="462158D3" w14:textId="77777777" w:rsidR="00457FB4" w:rsidRDefault="00457FB4" w:rsidP="00457FB4">
      <w:pPr>
        <w:jc w:val="center"/>
        <w:rPr>
          <w:b/>
          <w:snapToGrid w:val="0"/>
        </w:rPr>
      </w:pPr>
      <w:r>
        <w:rPr>
          <w:b/>
          <w:snapToGrid w:val="0"/>
        </w:rPr>
        <w:t>Requisiti per l'ammissione alla selezione</w:t>
      </w:r>
    </w:p>
    <w:p w14:paraId="085981E1" w14:textId="77777777" w:rsidR="00457FB4" w:rsidRDefault="00457FB4" w:rsidP="00457FB4">
      <w:pPr>
        <w:jc w:val="both"/>
        <w:rPr>
          <w:snapToGrid w:val="0"/>
        </w:rPr>
      </w:pPr>
    </w:p>
    <w:p w14:paraId="6CD84570" w14:textId="77777777" w:rsidR="00457FB4" w:rsidRDefault="00457FB4" w:rsidP="00457FB4">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3FECDC70" w14:textId="77777777" w:rsidR="00457FB4" w:rsidRPr="00831F0C" w:rsidRDefault="00457FB4" w:rsidP="00457FB4">
      <w:pPr>
        <w:numPr>
          <w:ilvl w:val="0"/>
          <w:numId w:val="36"/>
        </w:numPr>
        <w:jc w:val="both"/>
        <w:rPr>
          <w:szCs w:val="24"/>
        </w:rPr>
      </w:pPr>
      <w:r w:rsidRPr="00831F0C">
        <w:rPr>
          <w:szCs w:val="24"/>
        </w:rPr>
        <w:t xml:space="preserve">Diploma di laurea in </w:t>
      </w:r>
      <w:r w:rsidRPr="00831F0C">
        <w:rPr>
          <w:b/>
          <w:szCs w:val="24"/>
        </w:rPr>
        <w:t>Matematica, Fisica, Biologia, Ingegneria Informatica (o equivalente), Medicina, Psicologia</w:t>
      </w:r>
      <w:r w:rsidRPr="00831F0C">
        <w:rPr>
          <w:szCs w:val="24"/>
        </w:rPr>
        <w:t xml:space="preserve"> conseguito secondo la normativa in vigore anteriormente al D.M. 509/99, oppure della Laurea Specialistica/Magistrale (D.M. 5 maggio 2004);</w:t>
      </w:r>
    </w:p>
    <w:p w14:paraId="0E21E50C" w14:textId="77777777" w:rsidR="00457FB4" w:rsidRPr="00831F0C" w:rsidRDefault="00457FB4" w:rsidP="00457FB4">
      <w:pPr>
        <w:numPr>
          <w:ilvl w:val="0"/>
          <w:numId w:val="36"/>
        </w:numPr>
        <w:ind w:left="425" w:hanging="425"/>
        <w:jc w:val="both"/>
        <w:rPr>
          <w:szCs w:val="24"/>
        </w:rPr>
      </w:pPr>
      <w:r w:rsidRPr="00831F0C">
        <w:rPr>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5" w:history="1">
        <w:r w:rsidRPr="00831F0C">
          <w:t>www.miur.it</w:t>
        </w:r>
      </w:hyperlink>
      <w:r w:rsidRPr="00831F0C">
        <w:rPr>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455CADD7" w14:textId="77777777" w:rsidR="00457FB4" w:rsidRPr="00831F0C" w:rsidRDefault="00457FB4" w:rsidP="00457FB4">
      <w:pPr>
        <w:numPr>
          <w:ilvl w:val="0"/>
          <w:numId w:val="36"/>
        </w:numPr>
        <w:ind w:left="425" w:hanging="425"/>
        <w:jc w:val="both"/>
        <w:rPr>
          <w:szCs w:val="24"/>
        </w:rPr>
      </w:pPr>
      <w:r w:rsidRPr="00831F0C">
        <w:rPr>
          <w:szCs w:val="24"/>
        </w:rPr>
        <w:t>Esperienza nell’ambito della tematica di cui all’art. 1 e Appendice (1) dichiarato con le modalità di cui all’art. 4;</w:t>
      </w:r>
    </w:p>
    <w:p w14:paraId="0F85D897" w14:textId="77777777" w:rsidR="00457FB4" w:rsidRPr="00831F0C" w:rsidRDefault="00457FB4" w:rsidP="00457FB4">
      <w:pPr>
        <w:numPr>
          <w:ilvl w:val="0"/>
          <w:numId w:val="36"/>
        </w:numPr>
        <w:jc w:val="both"/>
        <w:rPr>
          <w:szCs w:val="24"/>
        </w:rPr>
      </w:pPr>
      <w:r w:rsidRPr="00831F0C">
        <w:rPr>
          <w:szCs w:val="24"/>
        </w:rPr>
        <w:t xml:space="preserve">Esperienza nello sviluppo di simulazioni basate su Agent Based Models, in particolare sulle tematiche di sviluppo della cooperazione; </w:t>
      </w:r>
    </w:p>
    <w:p w14:paraId="1CD2D746" w14:textId="77777777" w:rsidR="00457FB4" w:rsidRPr="00831F0C" w:rsidRDefault="00457FB4" w:rsidP="00457FB4">
      <w:pPr>
        <w:numPr>
          <w:ilvl w:val="0"/>
          <w:numId w:val="36"/>
        </w:numPr>
        <w:jc w:val="both"/>
        <w:rPr>
          <w:szCs w:val="24"/>
        </w:rPr>
      </w:pPr>
      <w:r w:rsidRPr="00831F0C">
        <w:rPr>
          <w:szCs w:val="24"/>
        </w:rPr>
        <w:t>Capacità di analisi dati e uso di modelli statistici;</w:t>
      </w:r>
    </w:p>
    <w:p w14:paraId="5F9957AB" w14:textId="77777777" w:rsidR="00457FB4" w:rsidRPr="00831F0C" w:rsidRDefault="00457FB4" w:rsidP="00457FB4">
      <w:pPr>
        <w:numPr>
          <w:ilvl w:val="0"/>
          <w:numId w:val="36"/>
        </w:numPr>
        <w:jc w:val="both"/>
        <w:rPr>
          <w:szCs w:val="24"/>
        </w:rPr>
      </w:pPr>
      <w:r w:rsidRPr="00831F0C">
        <w:rPr>
          <w:szCs w:val="24"/>
        </w:rPr>
        <w:t>Ottima conoscenza del linguaggio di programmazione “NetLogo”;</w:t>
      </w:r>
    </w:p>
    <w:p w14:paraId="18C520A7" w14:textId="77777777" w:rsidR="00457FB4" w:rsidRPr="00831F0C" w:rsidRDefault="00457FB4" w:rsidP="00457FB4">
      <w:pPr>
        <w:numPr>
          <w:ilvl w:val="0"/>
          <w:numId w:val="36"/>
        </w:numPr>
        <w:jc w:val="both"/>
        <w:rPr>
          <w:szCs w:val="24"/>
        </w:rPr>
      </w:pPr>
      <w:r w:rsidRPr="00831F0C">
        <w:rPr>
          <w:szCs w:val="24"/>
        </w:rPr>
        <w:t>Ottima conoscenza del linguaggio di programmazione “Python”;</w:t>
      </w:r>
    </w:p>
    <w:p w14:paraId="5D825EDD" w14:textId="77777777" w:rsidR="00457FB4" w:rsidRPr="00C37C5D" w:rsidRDefault="00457FB4" w:rsidP="00457FB4">
      <w:pPr>
        <w:numPr>
          <w:ilvl w:val="0"/>
          <w:numId w:val="36"/>
        </w:numPr>
        <w:jc w:val="both"/>
        <w:rPr>
          <w:szCs w:val="24"/>
        </w:rPr>
      </w:pPr>
      <w:r w:rsidRPr="00C37C5D">
        <w:rPr>
          <w:szCs w:val="24"/>
        </w:rPr>
        <w:t>Ottima conoscenza della lingua inglese sia scritta che orale;</w:t>
      </w:r>
    </w:p>
    <w:p w14:paraId="6D7E26F7" w14:textId="77777777" w:rsidR="00457FB4" w:rsidRPr="00C37C5D" w:rsidRDefault="00457FB4" w:rsidP="00457FB4">
      <w:pPr>
        <w:numPr>
          <w:ilvl w:val="0"/>
          <w:numId w:val="36"/>
        </w:numPr>
        <w:jc w:val="both"/>
        <w:rPr>
          <w:szCs w:val="24"/>
        </w:rPr>
      </w:pPr>
      <w:r w:rsidRPr="00C37C5D">
        <w:rPr>
          <w:szCs w:val="24"/>
        </w:rPr>
        <w:t>Conoscenza della lingua italiana (solo per i candidati stranieri).</w:t>
      </w:r>
    </w:p>
    <w:p w14:paraId="1BA9B40A" w14:textId="77777777" w:rsidR="00457FB4" w:rsidRDefault="00457FB4" w:rsidP="00457FB4">
      <w:pPr>
        <w:rPr>
          <w:b/>
          <w:snapToGrid w:val="0"/>
        </w:rPr>
      </w:pPr>
    </w:p>
    <w:p w14:paraId="586CA319" w14:textId="77777777" w:rsidR="00457FB4" w:rsidRPr="00A61277" w:rsidRDefault="00457FB4" w:rsidP="00457FB4">
      <w:pPr>
        <w:jc w:val="center"/>
        <w:rPr>
          <w:b/>
          <w:snapToGrid w:val="0"/>
        </w:rPr>
      </w:pPr>
      <w:r w:rsidRPr="00A61277">
        <w:rPr>
          <w:b/>
          <w:snapToGrid w:val="0"/>
        </w:rPr>
        <w:t>Art. 4</w:t>
      </w:r>
    </w:p>
    <w:p w14:paraId="5AB9CA26" w14:textId="77777777" w:rsidR="00457FB4" w:rsidRDefault="00457FB4" w:rsidP="00457FB4">
      <w:pPr>
        <w:jc w:val="center"/>
        <w:rPr>
          <w:b/>
          <w:snapToGrid w:val="0"/>
        </w:rPr>
      </w:pPr>
      <w:r>
        <w:rPr>
          <w:b/>
          <w:snapToGrid w:val="0"/>
        </w:rPr>
        <w:t>Domande di ammissione e modalità per la presentazione</w:t>
      </w:r>
    </w:p>
    <w:p w14:paraId="248D0C5E" w14:textId="77777777" w:rsidR="00457FB4" w:rsidRDefault="00457FB4" w:rsidP="00457FB4">
      <w:pPr>
        <w:jc w:val="both"/>
        <w:rPr>
          <w:snapToGrid w:val="0"/>
        </w:rPr>
      </w:pPr>
    </w:p>
    <w:p w14:paraId="52202F97" w14:textId="77777777" w:rsidR="00457FB4" w:rsidRDefault="00457FB4" w:rsidP="00457FB4">
      <w:pPr>
        <w:jc w:val="both"/>
        <w:rPr>
          <w:snapToGrid w:val="0"/>
        </w:rPr>
      </w:pPr>
      <w:r>
        <w:rPr>
          <w:snapToGrid w:val="0"/>
        </w:rPr>
        <w:t>DOMANDE DI AMMISSIONE</w:t>
      </w:r>
    </w:p>
    <w:p w14:paraId="37CE8B99" w14:textId="77777777" w:rsidR="00457FB4" w:rsidRDefault="00457FB4" w:rsidP="00457FB4">
      <w:pPr>
        <w:jc w:val="both"/>
        <w:rPr>
          <w:snapToGrid w:val="0"/>
        </w:rPr>
      </w:pPr>
    </w:p>
    <w:p w14:paraId="09CE3AF6" w14:textId="0D8AADB5" w:rsidR="00457FB4" w:rsidRDefault="00457FB4" w:rsidP="00457FB4">
      <w:pPr>
        <w:tabs>
          <w:tab w:val="right" w:pos="9072"/>
        </w:tabs>
        <w:autoSpaceDE w:val="0"/>
        <w:autoSpaceDN w:val="0"/>
        <w:jc w:val="both"/>
        <w:rPr>
          <w:b/>
          <w:snapToGrid w:val="0"/>
        </w:rPr>
      </w:pPr>
      <w:r w:rsidRPr="00000BF5">
        <w:rPr>
          <w:snapToGrid w:val="0"/>
        </w:rPr>
        <w:t>La domanda di partecipazione redatta esclusivamente utilizzando il modulo (allegato A), dovrà essere inviata all’</w:t>
      </w:r>
      <w:r>
        <w:rPr>
          <w:b/>
        </w:rPr>
        <w:t>Istituto di Scienze e Tecnologie della Cognizione</w:t>
      </w:r>
      <w:r>
        <w:t xml:space="preserve">, esclusivamente tramite Posta Elettronica Certificata (PEC) all’indirizzo: </w:t>
      </w:r>
      <w:hyperlink r:id="rId16" w:history="1">
        <w:r>
          <w:rPr>
            <w:rStyle w:val="Collegamentoipertestuale"/>
            <w:rFonts w:ascii="Verdana" w:eastAsia="Verdana" w:hAnsi="Verdana" w:cs="Verdana"/>
            <w:color w:val="0000FF"/>
            <w:sz w:val="18"/>
            <w:szCs w:val="18"/>
          </w:rPr>
          <w:t>protocollo.istc@pec.cnr.it</w:t>
        </w:r>
      </w:hyperlink>
      <w:r w:rsidRPr="00000BF5">
        <w:rPr>
          <w:snapToGrid w:val="0"/>
        </w:rPr>
        <w:t xml:space="preserve"> entro </w:t>
      </w:r>
      <w:r w:rsidRPr="000F3A73">
        <w:rPr>
          <w:snapToGrid w:val="0"/>
        </w:rPr>
        <w:t>il</w:t>
      </w:r>
      <w:r w:rsidRPr="000F3A73">
        <w:rPr>
          <w:b/>
          <w:snapToGrid w:val="0"/>
        </w:rPr>
        <w:t xml:space="preserve"> </w:t>
      </w:r>
      <w:r w:rsidR="00531FEC" w:rsidRPr="000F3A73">
        <w:rPr>
          <w:b/>
          <w:snapToGrid w:val="0"/>
        </w:rPr>
        <w:t xml:space="preserve"> </w:t>
      </w:r>
      <w:r w:rsidR="00E24FB7" w:rsidRPr="000F3A73">
        <w:rPr>
          <w:b/>
          <w:snapToGrid w:val="0"/>
        </w:rPr>
        <w:t xml:space="preserve"> </w:t>
      </w:r>
      <w:r w:rsidR="00531FEC" w:rsidRPr="000F3A73">
        <w:rPr>
          <w:b/>
          <w:snapToGrid w:val="0"/>
        </w:rPr>
        <w:t xml:space="preserve">26 Luglio </w:t>
      </w:r>
      <w:r w:rsidR="00E24FB7" w:rsidRPr="000F3A73">
        <w:rPr>
          <w:b/>
          <w:snapToGrid w:val="0"/>
        </w:rPr>
        <w:t>2024</w:t>
      </w:r>
      <w:r w:rsidR="00E24FB7" w:rsidRPr="000F3A73">
        <w:rPr>
          <w:snapToGrid w:val="0"/>
        </w:rPr>
        <w:t>.</w:t>
      </w:r>
      <w:r w:rsidRPr="00E24FB7">
        <w:rPr>
          <w:b/>
          <w:snapToGrid w:val="0"/>
        </w:rPr>
        <w:t xml:space="preserve"> </w:t>
      </w:r>
      <w:r w:rsidRPr="00E71E43">
        <w:rPr>
          <w:snapToGrid w:val="0"/>
        </w:rPr>
        <w:t>Qualora il termine di presentazione delle domande venga a cadere in un giorno festivo, detto termine</w:t>
      </w:r>
      <w:r>
        <w:rPr>
          <w:snapToGrid w:val="0"/>
        </w:rPr>
        <w:t xml:space="preserve"> si intende protratto al primo giorno non festivo immediatamente seguente. Le domande inoltrate dopo il termine fissato e quelle che risultassero incomplete non verranno prese in considerazione. Nell’oggetto della mail dovrà essere indicato il riferimento </w:t>
      </w:r>
      <w:r w:rsidRPr="00526E7E">
        <w:rPr>
          <w:snapToGrid w:val="0"/>
        </w:rPr>
        <w:t>all’</w:t>
      </w:r>
      <w:r w:rsidRPr="00526E7E">
        <w:rPr>
          <w:b/>
          <w:snapToGrid w:val="0"/>
        </w:rPr>
        <w:t>Avviso di selezione n.</w:t>
      </w:r>
      <w:r w:rsidRPr="00526E7E">
        <w:rPr>
          <w:snapToGrid w:val="0"/>
        </w:rPr>
        <w:t xml:space="preserve"> </w:t>
      </w:r>
      <w:bookmarkStart w:id="0" w:name="_GoBack"/>
      <w:r w:rsidRPr="00526E7E">
        <w:rPr>
          <w:b/>
          <w:snapToGrid w:val="0"/>
        </w:rPr>
        <w:t>ISTC-4</w:t>
      </w:r>
      <w:r w:rsidR="00E7161D">
        <w:rPr>
          <w:b/>
          <w:snapToGrid w:val="0"/>
        </w:rPr>
        <w:t>13</w:t>
      </w:r>
      <w:r w:rsidRPr="00526E7E">
        <w:rPr>
          <w:b/>
          <w:snapToGrid w:val="0"/>
        </w:rPr>
        <w:t>-2024-RM</w:t>
      </w:r>
      <w:r>
        <w:rPr>
          <w:snapToGrid w:val="0"/>
        </w:rPr>
        <w:t xml:space="preserve"> </w:t>
      </w:r>
      <w:bookmarkEnd w:id="0"/>
      <w:r w:rsidRPr="007B27BC">
        <w:rPr>
          <w:b/>
          <w:snapToGrid w:val="0"/>
        </w:rPr>
        <w:t>(evitare di indicare caratteri speciali)</w:t>
      </w:r>
    </w:p>
    <w:p w14:paraId="47B8A2B1" w14:textId="77777777" w:rsidR="00457FB4" w:rsidRDefault="00457FB4" w:rsidP="00457FB4">
      <w:pPr>
        <w:tabs>
          <w:tab w:val="right" w:pos="9072"/>
        </w:tabs>
        <w:autoSpaceDE w:val="0"/>
        <w:autoSpaceDN w:val="0"/>
        <w:jc w:val="both"/>
        <w:rPr>
          <w:snapToGrid w:val="0"/>
        </w:rPr>
      </w:pPr>
    </w:p>
    <w:p w14:paraId="11464A67" w14:textId="77777777" w:rsidR="00457FB4" w:rsidRDefault="00457FB4" w:rsidP="00457FB4">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0A10CB0" w14:textId="77777777" w:rsidR="00457FB4" w:rsidRDefault="00457FB4" w:rsidP="00457FB4">
      <w:pPr>
        <w:jc w:val="both"/>
        <w:rPr>
          <w:snapToGrid w:val="0"/>
        </w:rPr>
      </w:pPr>
    </w:p>
    <w:p w14:paraId="4D70896A" w14:textId="0ACAFBF8" w:rsidR="00457FB4" w:rsidRDefault="00457FB4" w:rsidP="00457FB4">
      <w:pPr>
        <w:autoSpaceDE w:val="0"/>
        <w:autoSpaceDN w:val="0"/>
        <w:adjustRightInd w:val="0"/>
        <w:jc w:val="both"/>
      </w:pPr>
      <w:r w:rsidRPr="00000BF5">
        <w:t>Per i cittadini stranieri l’invio della domanda e delle dichiarazioni di cui al successivo comma 5, potrà essere effettuato con posta elettronica ordinaria</w:t>
      </w:r>
      <w:r w:rsidR="00FE36F7">
        <w:t xml:space="preserve"> </w:t>
      </w:r>
      <w:r w:rsidR="00FE36F7">
        <w:rPr>
          <w:rFonts w:ascii="Verdana" w:eastAsia="Verdana" w:hAnsi="Verdana" w:cs="Verdana"/>
          <w:sz w:val="18"/>
          <w:szCs w:val="18"/>
        </w:rPr>
        <w:t xml:space="preserve">(all’indirizzo: </w:t>
      </w:r>
      <w:hyperlink r:id="rId17">
        <w:r w:rsidR="00FE36F7">
          <w:rPr>
            <w:rFonts w:ascii="Verdana" w:eastAsia="Verdana" w:hAnsi="Verdana" w:cs="Verdana"/>
            <w:color w:val="0000FF"/>
            <w:sz w:val="18"/>
            <w:szCs w:val="18"/>
            <w:u w:val="single"/>
          </w:rPr>
          <w:t>protocollo.roma@istc.cnr.it</w:t>
        </w:r>
      </w:hyperlink>
      <w:r w:rsidR="00FE36F7">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71547A4D" w14:textId="77777777" w:rsidR="00457FB4" w:rsidRPr="00000BF5" w:rsidRDefault="00457FB4" w:rsidP="00457FB4">
      <w:pPr>
        <w:autoSpaceDE w:val="0"/>
        <w:autoSpaceDN w:val="0"/>
        <w:adjustRightInd w:val="0"/>
        <w:jc w:val="both"/>
      </w:pPr>
    </w:p>
    <w:p w14:paraId="50E4D129" w14:textId="77777777" w:rsidR="00457FB4" w:rsidRPr="00C5026D" w:rsidRDefault="00457FB4" w:rsidP="00457FB4">
      <w:pPr>
        <w:autoSpaceDE w:val="0"/>
        <w:autoSpaceDN w:val="0"/>
        <w:adjustRightInd w:val="0"/>
        <w:jc w:val="both"/>
      </w:pPr>
      <w:r>
        <w:t xml:space="preserve">Ai predetti candidati sarà inviata una mail di conferma dell’avvenuta ricezione della domanda. </w:t>
      </w:r>
    </w:p>
    <w:p w14:paraId="7538EF07" w14:textId="77777777" w:rsidR="00457FB4" w:rsidRDefault="00457FB4" w:rsidP="00457FB4">
      <w:pPr>
        <w:jc w:val="both"/>
        <w:rPr>
          <w:snapToGrid w:val="0"/>
        </w:rPr>
      </w:pPr>
    </w:p>
    <w:p w14:paraId="2436D748" w14:textId="77777777" w:rsidR="00457FB4" w:rsidRPr="00F37FDD" w:rsidRDefault="00457FB4" w:rsidP="00457FB4">
      <w:pPr>
        <w:jc w:val="both"/>
      </w:pPr>
      <w:r w:rsidRPr="00F37FDD">
        <w:t xml:space="preserve">Insieme alla domanda (all. A) il/la candidato/a dovrà altresì inviare, </w:t>
      </w:r>
      <w:r w:rsidRPr="00F37FDD">
        <w:rPr>
          <w:b/>
          <w:bCs/>
        </w:rPr>
        <w:t>come documenti PDF separati</w:t>
      </w:r>
      <w:r w:rsidRPr="00F37FDD">
        <w:t>:</w:t>
      </w:r>
    </w:p>
    <w:p w14:paraId="66EDA2D2"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58C3EEF" w14:textId="77777777" w:rsidR="00457FB4" w:rsidRPr="00F37FDD" w:rsidRDefault="00457FB4" w:rsidP="00457FB4">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30573F33"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E206258" w14:textId="77777777" w:rsidR="00457FB4" w:rsidRPr="00F37FDD" w:rsidRDefault="00457FB4" w:rsidP="00457FB4">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5B698323" w14:textId="77777777" w:rsidR="00457FB4" w:rsidRPr="00F37FDD" w:rsidRDefault="00457FB4" w:rsidP="00457FB4">
      <w:pPr>
        <w:pStyle w:val="Default"/>
        <w:numPr>
          <w:ilvl w:val="1"/>
          <w:numId w:val="34"/>
        </w:numPr>
        <w:suppressAutoHyphens/>
        <w:autoSpaceDE/>
        <w:autoSpaceDN/>
        <w:adjustRightInd/>
        <w:jc w:val="both"/>
      </w:pPr>
      <w:r w:rsidRPr="00F37FDD">
        <w:lastRenderedPageBreak/>
        <w:t xml:space="preserve">il CV dovrà includere </w:t>
      </w:r>
      <w:r w:rsidRPr="00F37FDD">
        <w:rPr>
          <w:u w:val="single"/>
        </w:rPr>
        <w:t>SOLO</w:t>
      </w:r>
      <w:r w:rsidRPr="00F37FDD">
        <w:t xml:space="preserve"> i seguenti dati personali: nome e cognome e data di nascita;</w:t>
      </w:r>
    </w:p>
    <w:p w14:paraId="79D8C641"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C3AA513" w14:textId="15B6405F" w:rsidR="00457FB4" w:rsidRDefault="00457FB4" w:rsidP="00457FB4">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0BD0359C" w14:textId="77777777" w:rsidR="009C7A7C" w:rsidRPr="00F37FDD" w:rsidRDefault="009C7A7C" w:rsidP="009C7A7C">
      <w:pPr>
        <w:pStyle w:val="Default"/>
        <w:suppressAutoHyphens/>
        <w:autoSpaceDE/>
        <w:autoSpaceDN/>
        <w:adjustRightInd/>
        <w:ind w:left="1080"/>
        <w:jc w:val="both"/>
      </w:pPr>
    </w:p>
    <w:p w14:paraId="40DB8E50" w14:textId="77777777" w:rsidR="00457FB4" w:rsidRPr="00F37FDD" w:rsidRDefault="00457FB4" w:rsidP="005220DA">
      <w:pPr>
        <w:pStyle w:val="Default"/>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EF66AF" w14:textId="77777777" w:rsidR="00457FB4" w:rsidRPr="00F37FDD" w:rsidRDefault="00457FB4" w:rsidP="00457FB4">
      <w:pPr>
        <w:pStyle w:val="Default"/>
        <w:suppressAutoHyphens/>
        <w:autoSpaceDE/>
        <w:autoSpaceDN/>
        <w:adjustRightInd/>
        <w:contextualSpacing/>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431654" w14:textId="77777777" w:rsidR="00457FB4" w:rsidRPr="003873B3" w:rsidRDefault="00457FB4" w:rsidP="00457FB4">
      <w:pPr>
        <w:pStyle w:val="Default"/>
        <w:contextualSpacing/>
        <w:jc w:val="both"/>
        <w:rPr>
          <w:rFonts w:eastAsia="Calibri"/>
        </w:rPr>
      </w:pPr>
    </w:p>
    <w:p w14:paraId="60BC4451" w14:textId="77777777" w:rsidR="00457FB4" w:rsidRPr="003873B3" w:rsidRDefault="00457FB4" w:rsidP="00457FB4">
      <w:pPr>
        <w:pStyle w:val="Rientrocorpodeltesto"/>
        <w:ind w:left="0" w:firstLine="0"/>
        <w:contextualSpacing/>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95D349" w14:textId="77777777" w:rsidR="00457FB4" w:rsidRPr="003873B3" w:rsidRDefault="00457FB4" w:rsidP="00457FB4">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5BD754A9" w14:textId="77777777" w:rsidR="00457FB4" w:rsidRPr="00F37FDD" w:rsidRDefault="00457FB4" w:rsidP="00457FB4">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6ED7B99F" w14:textId="77777777" w:rsidR="00457FB4" w:rsidRPr="00F37FDD" w:rsidRDefault="00457FB4" w:rsidP="00457FB4">
      <w:pPr>
        <w:contextualSpacing/>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64F90DFB" w14:textId="77777777" w:rsidR="00457FB4" w:rsidRPr="00F37FDD" w:rsidRDefault="00457FB4" w:rsidP="00457FB4">
      <w:pPr>
        <w:contextualSpacing/>
        <w:jc w:val="both"/>
        <w:rPr>
          <w:b/>
          <w:bCs/>
          <w:u w:val="single"/>
        </w:rPr>
      </w:pPr>
    </w:p>
    <w:p w14:paraId="419A54E3" w14:textId="77777777" w:rsidR="00457FB4" w:rsidRPr="00F37FDD" w:rsidRDefault="00457FB4" w:rsidP="00457FB4">
      <w:pPr>
        <w:contextualSpacing/>
        <w:jc w:val="both"/>
      </w:pPr>
      <w:r w:rsidRPr="00F37FDD">
        <w:rPr>
          <w:b/>
          <w:bCs/>
        </w:rPr>
        <w:t>Il/la candidato/a non dovrà produrre alcuna ulteriore documentazione secondo quanto previsto all’art. 15 L. 183/2011.</w:t>
      </w:r>
    </w:p>
    <w:p w14:paraId="58B76839" w14:textId="77777777" w:rsidR="00457FB4" w:rsidRPr="00F37FDD" w:rsidRDefault="00457FB4" w:rsidP="00457FB4">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2631CB" w14:textId="77777777" w:rsidR="00457FB4" w:rsidRDefault="00457FB4" w:rsidP="00457FB4">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50FF7A" w14:textId="77777777" w:rsidR="00457FB4" w:rsidRPr="003873B3" w:rsidRDefault="00457FB4" w:rsidP="00457FB4">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3443863" w14:textId="77777777" w:rsidR="005220DA" w:rsidRDefault="005220DA" w:rsidP="00457FB4">
      <w:pPr>
        <w:pStyle w:val="Titolo1"/>
        <w:keepNext w:val="0"/>
        <w:rPr>
          <w:b/>
          <w:sz w:val="24"/>
        </w:rPr>
      </w:pPr>
    </w:p>
    <w:p w14:paraId="5A8B7E09" w14:textId="77777777" w:rsidR="000F3A73" w:rsidRDefault="000F3A73" w:rsidP="00457FB4">
      <w:pPr>
        <w:pStyle w:val="Titolo1"/>
        <w:keepNext w:val="0"/>
        <w:rPr>
          <w:b/>
          <w:sz w:val="24"/>
        </w:rPr>
      </w:pPr>
    </w:p>
    <w:p w14:paraId="0965D725" w14:textId="5025F096" w:rsidR="00457FB4" w:rsidRPr="005220DA" w:rsidRDefault="00457FB4" w:rsidP="00457FB4">
      <w:pPr>
        <w:pStyle w:val="Titolo1"/>
        <w:keepNext w:val="0"/>
        <w:rPr>
          <w:b/>
          <w:sz w:val="24"/>
        </w:rPr>
      </w:pPr>
      <w:r w:rsidRPr="005220DA">
        <w:rPr>
          <w:b/>
          <w:sz w:val="24"/>
        </w:rPr>
        <w:lastRenderedPageBreak/>
        <w:t>Art. 5</w:t>
      </w:r>
    </w:p>
    <w:p w14:paraId="22FB6888" w14:textId="77777777" w:rsidR="00457FB4" w:rsidRPr="005220DA" w:rsidRDefault="00457FB4" w:rsidP="00457FB4">
      <w:pPr>
        <w:pStyle w:val="Titolo1"/>
        <w:keepNext w:val="0"/>
        <w:rPr>
          <w:b/>
          <w:sz w:val="24"/>
        </w:rPr>
      </w:pPr>
      <w:r w:rsidRPr="005220DA">
        <w:rPr>
          <w:b/>
          <w:sz w:val="24"/>
        </w:rPr>
        <w:t>Esclusione dalla selezione</w:t>
      </w:r>
    </w:p>
    <w:p w14:paraId="21E5E4D4" w14:textId="77777777" w:rsidR="00457FB4" w:rsidRDefault="00457FB4" w:rsidP="00457FB4">
      <w:pPr>
        <w:jc w:val="both"/>
      </w:pPr>
    </w:p>
    <w:p w14:paraId="0B884E12" w14:textId="77777777" w:rsidR="00457FB4" w:rsidRDefault="00457FB4" w:rsidP="00457FB4">
      <w:pPr>
        <w:jc w:val="both"/>
      </w:pPr>
      <w:r>
        <w:t>I candidati sono ammessi con riserva alla selezione.</w:t>
      </w:r>
    </w:p>
    <w:p w14:paraId="0727ACBC" w14:textId="77777777" w:rsidR="00457FB4" w:rsidRDefault="00457FB4" w:rsidP="00457FB4">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181A5183" w14:textId="77777777" w:rsidR="00457FB4" w:rsidRDefault="00457FB4" w:rsidP="00457FB4">
      <w:pPr>
        <w:rPr>
          <w:b/>
          <w:snapToGrid w:val="0"/>
        </w:rPr>
      </w:pPr>
    </w:p>
    <w:p w14:paraId="44B5BE52" w14:textId="77777777" w:rsidR="00457FB4" w:rsidRPr="005220DA" w:rsidRDefault="00457FB4" w:rsidP="00457FB4">
      <w:pPr>
        <w:pStyle w:val="Titolo1"/>
        <w:keepNext w:val="0"/>
        <w:rPr>
          <w:b/>
          <w:sz w:val="24"/>
        </w:rPr>
      </w:pPr>
      <w:r w:rsidRPr="005220DA">
        <w:rPr>
          <w:b/>
          <w:sz w:val="24"/>
        </w:rPr>
        <w:t>Art. 6</w:t>
      </w:r>
    </w:p>
    <w:p w14:paraId="0B531E51" w14:textId="77777777" w:rsidR="00457FB4" w:rsidRPr="005220DA" w:rsidRDefault="00457FB4" w:rsidP="00457FB4">
      <w:pPr>
        <w:pStyle w:val="Titolo1"/>
        <w:keepNext w:val="0"/>
        <w:rPr>
          <w:b/>
          <w:sz w:val="24"/>
        </w:rPr>
      </w:pPr>
      <w:r w:rsidRPr="005220DA">
        <w:rPr>
          <w:b/>
          <w:sz w:val="24"/>
        </w:rPr>
        <w:t>Commissione esaminatrice</w:t>
      </w:r>
    </w:p>
    <w:p w14:paraId="0EBECAB1" w14:textId="77777777" w:rsidR="00457FB4" w:rsidRPr="008433D4" w:rsidRDefault="00457FB4" w:rsidP="00457FB4">
      <w:pPr>
        <w:jc w:val="both"/>
      </w:pPr>
    </w:p>
    <w:p w14:paraId="3408A18B" w14:textId="77777777" w:rsidR="00F566FB" w:rsidRDefault="00457FB4" w:rsidP="00F566FB">
      <w:pPr>
        <w:autoSpaceDE w:val="0"/>
        <w:autoSpaceDN w:val="0"/>
        <w:spacing w:after="120"/>
        <w:contextualSpacing/>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71028520" w14:textId="4E9B39E3" w:rsidR="00457FB4" w:rsidRDefault="00457FB4" w:rsidP="00F566FB">
      <w:pPr>
        <w:autoSpaceDE w:val="0"/>
        <w:autoSpaceDN w:val="0"/>
        <w:spacing w:after="120"/>
        <w:contextualSpacing/>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8BA096D" w14:textId="77777777" w:rsidR="00457FB4" w:rsidRPr="00B23351" w:rsidRDefault="00457FB4" w:rsidP="00F566FB">
      <w:pPr>
        <w:spacing w:after="120"/>
        <w:contextualSpacing/>
        <w:jc w:val="both"/>
      </w:pPr>
      <w:r w:rsidRPr="00B23351">
        <w:rPr>
          <w:szCs w:val="24"/>
        </w:rPr>
        <w:t>La Commissione può svolgere il procedimento anche con modalità telematiche.</w:t>
      </w:r>
    </w:p>
    <w:p w14:paraId="6408442E" w14:textId="77777777" w:rsidR="00457FB4" w:rsidRPr="008433D4" w:rsidRDefault="00457FB4" w:rsidP="00F566FB">
      <w:pPr>
        <w:spacing w:after="120"/>
        <w:contextualSpacing/>
        <w:jc w:val="both"/>
      </w:pPr>
      <w:r w:rsidRPr="008433D4">
        <w:t>La Commissione conclude i propri lavori entro sessanta giorni dal termine per la presentazione delle domande</w:t>
      </w:r>
      <w:r>
        <w:t>, salvo motivata impossibilità</w:t>
      </w:r>
      <w:r w:rsidRPr="008433D4">
        <w:t>.</w:t>
      </w:r>
    </w:p>
    <w:p w14:paraId="2C2C91A6" w14:textId="77777777" w:rsidR="00457FB4" w:rsidRDefault="00457FB4" w:rsidP="00457FB4">
      <w:pPr>
        <w:rPr>
          <w:b/>
          <w:snapToGrid w:val="0"/>
        </w:rPr>
      </w:pPr>
    </w:p>
    <w:p w14:paraId="44DC4739" w14:textId="77777777" w:rsidR="00457FB4" w:rsidRPr="005220DA" w:rsidRDefault="00457FB4" w:rsidP="00457FB4">
      <w:pPr>
        <w:pStyle w:val="Titolo1"/>
        <w:keepNext w:val="0"/>
        <w:rPr>
          <w:b/>
          <w:sz w:val="24"/>
        </w:rPr>
      </w:pPr>
      <w:r w:rsidRPr="005220DA">
        <w:rPr>
          <w:b/>
          <w:sz w:val="24"/>
        </w:rPr>
        <w:t>Art. 7</w:t>
      </w:r>
    </w:p>
    <w:p w14:paraId="51A53F35" w14:textId="77777777" w:rsidR="00457FB4" w:rsidRPr="005220DA" w:rsidRDefault="00457FB4" w:rsidP="00457FB4">
      <w:pPr>
        <w:pStyle w:val="Titolo1"/>
        <w:keepNext w:val="0"/>
        <w:rPr>
          <w:b/>
          <w:sz w:val="24"/>
        </w:rPr>
      </w:pPr>
      <w:r w:rsidRPr="005220DA">
        <w:rPr>
          <w:b/>
          <w:sz w:val="24"/>
        </w:rPr>
        <w:t>Modalità di selezione e graduatoria</w:t>
      </w:r>
    </w:p>
    <w:p w14:paraId="4B76A480" w14:textId="77777777" w:rsidR="00457FB4" w:rsidRPr="008433D4" w:rsidRDefault="00457FB4" w:rsidP="00457FB4">
      <w:pPr>
        <w:pStyle w:val="Intestazione"/>
        <w:tabs>
          <w:tab w:val="clear" w:pos="4819"/>
          <w:tab w:val="clear" w:pos="9638"/>
        </w:tabs>
      </w:pPr>
    </w:p>
    <w:p w14:paraId="2191B0F2" w14:textId="77777777" w:rsidR="00457FB4" w:rsidRDefault="00457FB4" w:rsidP="00457FB4">
      <w:pPr>
        <w:jc w:val="both"/>
      </w:pPr>
      <w: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rPr>
        <w:t>un punteggio minimo non inferiore a 40/70</w:t>
      </w:r>
      <w:r>
        <w:t xml:space="preserve">. Il colloquio si intenderà superato se il candidato avrà riportato </w:t>
      </w:r>
      <w:r>
        <w:rPr>
          <w:b/>
        </w:rPr>
        <w:t>un punteggio minimo non inferiore a 25/30</w:t>
      </w:r>
      <w:r>
        <w:t>).</w:t>
      </w:r>
    </w:p>
    <w:p w14:paraId="6D3E03B6" w14:textId="77777777" w:rsidR="00457FB4" w:rsidRDefault="00457FB4" w:rsidP="00457FB4">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F21481C" w14:textId="4FC0378D"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w:t>
      </w:r>
      <w:r w:rsidRPr="00315100">
        <w:lastRenderedPageBreak/>
        <w:t xml:space="preserve">di cui agli artt. 3 e 4 e che non hanno ricevuto comunicazione, mediante PEC o posta elettronica ordinaria se stranieri, sono tenuti a presentarsi il giorno </w:t>
      </w:r>
      <w:r w:rsidR="00531FEC" w:rsidRPr="000F3A73">
        <w:rPr>
          <w:b/>
        </w:rPr>
        <w:t>16/09</w:t>
      </w:r>
      <w:r w:rsidRPr="000F3A73">
        <w:rPr>
          <w:b/>
        </w:rPr>
        <w:t>/2024</w:t>
      </w:r>
      <w:r w:rsidRPr="00C00DAA">
        <w:rPr>
          <w:b/>
        </w:rPr>
        <w:t xml:space="preserve"> alle</w:t>
      </w:r>
      <w:r w:rsidRPr="00315100">
        <w:rPr>
          <w:b/>
        </w:rPr>
        <w:t xml:space="preserve"> </w:t>
      </w:r>
      <w:r w:rsidRPr="00D518FC">
        <w:rPr>
          <w:b/>
        </w:rPr>
        <w:t>ore 1</w:t>
      </w:r>
      <w:r>
        <w:rPr>
          <w:b/>
        </w:rPr>
        <w:t>1.</w:t>
      </w:r>
      <w:r w:rsidRPr="00D518FC">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AD86910" w14:textId="77777777"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1B434D47" w14:textId="77777777" w:rsidR="00457FB4" w:rsidRPr="004F5942" w:rsidRDefault="00457FB4" w:rsidP="00457FB4">
      <w:pPr>
        <w:spacing w:before="120"/>
        <w:jc w:val="both"/>
      </w:pPr>
      <w:r w:rsidRPr="004F5942">
        <w:t>La commissione potrà effettuare il colloquio con modalità a distanza utilizzando supporti informatici audio/video secondo modalità operative che saranno comunicate dall’Istituto/Struttura del CNR, atte comunque ad assicurarne la pubblicità.</w:t>
      </w:r>
    </w:p>
    <w:p w14:paraId="7FF854B0" w14:textId="77777777" w:rsidR="00457FB4" w:rsidRDefault="00457FB4" w:rsidP="00F566FB">
      <w:pPr>
        <w:spacing w:before="120"/>
        <w:contextualSpacing/>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4D5D11B" w14:textId="77777777" w:rsidR="00457FB4" w:rsidRDefault="00457FB4" w:rsidP="00F566FB">
      <w:pPr>
        <w:spacing w:before="120"/>
        <w:contextualSpacing/>
        <w:jc w:val="both"/>
      </w:pPr>
      <w:r>
        <w:t>Per essere ammessi al colloquio i candidati devono presentare un valido documento di identità personale. I candidati che non si presenteranno a sostenere il colloquio nel giorno fissato saranno dichiarati decaduti dalla selezione.</w:t>
      </w:r>
    </w:p>
    <w:p w14:paraId="49C3EBAC" w14:textId="77777777" w:rsidR="00457FB4" w:rsidRDefault="00457FB4" w:rsidP="00F566FB">
      <w:pPr>
        <w:spacing w:before="120"/>
        <w:contextualSpacing/>
        <w:jc w:val="both"/>
      </w:pPr>
      <w:r>
        <w:t>Al termine dei lavori la commissione redige una relazione in cui sono espressi giudizi motivati, anche in forma sintetica su ciascun candidato.</w:t>
      </w:r>
    </w:p>
    <w:p w14:paraId="7C3510DA" w14:textId="77777777" w:rsidR="00457FB4" w:rsidRDefault="00457FB4" w:rsidP="00F566FB">
      <w:pPr>
        <w:spacing w:before="120"/>
        <w:contextualSpacing/>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AD48691" w14:textId="77777777" w:rsidR="00457FB4" w:rsidRPr="001F0D25" w:rsidRDefault="00457FB4" w:rsidP="00F566FB">
      <w:pPr>
        <w:spacing w:before="120"/>
        <w:contextualSpacing/>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8"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663B1674" w14:textId="77777777" w:rsidR="00457FB4" w:rsidRDefault="00457FB4" w:rsidP="00F566FB">
      <w:pPr>
        <w:spacing w:before="120"/>
        <w:contextualSpacing/>
        <w:jc w:val="both"/>
      </w:pPr>
      <w:r>
        <w:t>Tutti i partecipanti alla selezione saranno informati dell'esito della selezione mediante comunicazione inviata con PEC.</w:t>
      </w:r>
    </w:p>
    <w:p w14:paraId="03D95FAC" w14:textId="77777777" w:rsidR="00457FB4" w:rsidRDefault="00457FB4" w:rsidP="00F566FB">
      <w:pPr>
        <w:spacing w:before="120"/>
        <w:contextualSpacing/>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453802CE" w14:textId="77777777" w:rsidR="00457FB4" w:rsidRDefault="00457FB4" w:rsidP="00F566FB">
      <w:pPr>
        <w:spacing w:before="120"/>
        <w:contextualSpacing/>
        <w:jc w:val="both"/>
      </w:pPr>
      <w:r>
        <w:t>Il Consiglio Nazionale delle Ricerche non prevede il rimborso di eventuali spese sostenute dai candidati per la partecipazione al colloquio.</w:t>
      </w:r>
    </w:p>
    <w:p w14:paraId="10D070F4" w14:textId="77777777" w:rsidR="00457FB4" w:rsidRPr="00526E7E" w:rsidRDefault="00457FB4" w:rsidP="005220DA">
      <w:pPr>
        <w:spacing w:before="120"/>
        <w:ind w:left="3600" w:firstLine="720"/>
        <w:rPr>
          <w:b/>
        </w:rPr>
      </w:pPr>
      <w:r w:rsidRPr="00526E7E">
        <w:rPr>
          <w:b/>
        </w:rPr>
        <w:t>Art. 8</w:t>
      </w:r>
    </w:p>
    <w:p w14:paraId="278A0B7F" w14:textId="77777777" w:rsidR="00457FB4" w:rsidRDefault="00457FB4" w:rsidP="00457FB4">
      <w:pPr>
        <w:jc w:val="center"/>
        <w:rPr>
          <w:b/>
          <w:snapToGrid w:val="0"/>
        </w:rPr>
      </w:pPr>
      <w:r>
        <w:rPr>
          <w:b/>
          <w:snapToGrid w:val="0"/>
        </w:rPr>
        <w:t>Formalizzazione del rapporto e risoluzione del contratto</w:t>
      </w:r>
    </w:p>
    <w:p w14:paraId="75E7CC38" w14:textId="77777777" w:rsidR="00457FB4" w:rsidRDefault="00457FB4" w:rsidP="00457FB4">
      <w:pPr>
        <w:ind w:right="72"/>
        <w:rPr>
          <w:snapToGrid w:val="0"/>
        </w:rPr>
      </w:pPr>
    </w:p>
    <w:p w14:paraId="58926C50" w14:textId="77777777" w:rsidR="00457FB4" w:rsidRDefault="00457FB4" w:rsidP="00F566FB">
      <w:pPr>
        <w:ind w:right="72"/>
        <w:contextualSpacing/>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Pr>
          <w:snapToGrid w:val="0"/>
        </w:rPr>
        <w:lastRenderedPageBreak/>
        <w:t>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5FF60830" w14:textId="77777777" w:rsidR="00457FB4" w:rsidRDefault="00457FB4" w:rsidP="00F566FB">
      <w:pPr>
        <w:autoSpaceDE w:val="0"/>
        <w:autoSpaceDN w:val="0"/>
        <w:contextualSpacing/>
        <w:jc w:val="both"/>
        <w:rPr>
          <w:szCs w:val="24"/>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ED0BF91" w14:textId="77777777" w:rsidR="00457FB4" w:rsidRDefault="00457FB4" w:rsidP="00F566FB">
      <w:pPr>
        <w:autoSpaceDE w:val="0"/>
        <w:autoSpaceDN w:val="0"/>
        <w:contextualSpacing/>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2BD8AEDD" w14:textId="77777777" w:rsidR="00457FB4" w:rsidRDefault="00457FB4" w:rsidP="00F566FB">
      <w:pPr>
        <w:autoSpaceDE w:val="0"/>
        <w:autoSpaceDN w:val="0"/>
        <w:contextualSpacing/>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02FDAC64" w14:textId="77777777" w:rsidR="00457FB4" w:rsidRPr="00642204" w:rsidRDefault="00457FB4" w:rsidP="00F566FB">
      <w:pPr>
        <w:autoSpaceDE w:val="0"/>
        <w:autoSpaceDN w:val="0"/>
        <w:contextualSpacing/>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58CB2536" w14:textId="77777777" w:rsidR="00457FB4" w:rsidRDefault="00457FB4" w:rsidP="00F566FB">
      <w:pPr>
        <w:contextualSpacing/>
        <w:jc w:val="both"/>
        <w:rPr>
          <w:szCs w:val="24"/>
        </w:rPr>
      </w:pPr>
    </w:p>
    <w:p w14:paraId="045F5AE5" w14:textId="77777777" w:rsidR="00457FB4" w:rsidRDefault="00457FB4" w:rsidP="00F566FB">
      <w:pPr>
        <w:contextualSpacing/>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592EB83D" w14:textId="77777777" w:rsidR="00457FB4" w:rsidRDefault="00457FB4" w:rsidP="00F566FB">
      <w:pPr>
        <w:numPr>
          <w:ilvl w:val="0"/>
          <w:numId w:val="22"/>
        </w:numPr>
        <w:ind w:left="567" w:hanging="425"/>
        <w:contextualSpacing/>
        <w:jc w:val="both"/>
        <w:rPr>
          <w:szCs w:val="24"/>
        </w:rPr>
      </w:pPr>
      <w:r w:rsidRPr="00956472">
        <w:rPr>
          <w:szCs w:val="24"/>
        </w:rPr>
        <w:t>autocertificazione che attesti data e luogo di nascita, cittadinanza, godimento dei diritti politici, titolo di studio;</w:t>
      </w:r>
    </w:p>
    <w:p w14:paraId="705EED13" w14:textId="77777777" w:rsidR="00457FB4" w:rsidRDefault="00457FB4" w:rsidP="00F566FB">
      <w:pPr>
        <w:numPr>
          <w:ilvl w:val="0"/>
          <w:numId w:val="22"/>
        </w:numPr>
        <w:ind w:left="567" w:hanging="425"/>
        <w:contextualSpacing/>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4B9E7D8" w14:textId="77777777" w:rsidR="00457FB4" w:rsidRDefault="00457FB4" w:rsidP="00F566FB">
      <w:pPr>
        <w:numPr>
          <w:ilvl w:val="0"/>
          <w:numId w:val="22"/>
        </w:numPr>
        <w:ind w:left="567" w:hanging="425"/>
        <w:contextualSpacing/>
        <w:jc w:val="both"/>
        <w:rPr>
          <w:szCs w:val="24"/>
        </w:rPr>
      </w:pPr>
      <w:r w:rsidRPr="00956472">
        <w:rPr>
          <w:szCs w:val="24"/>
        </w:rPr>
        <w:t xml:space="preserve">fotocopia </w:t>
      </w:r>
      <w:r>
        <w:rPr>
          <w:szCs w:val="24"/>
        </w:rPr>
        <w:t>del tesserino di codice fiscale;</w:t>
      </w:r>
    </w:p>
    <w:p w14:paraId="6AFFF958" w14:textId="77777777" w:rsidR="00457FB4" w:rsidRPr="007F5F26" w:rsidRDefault="00457FB4" w:rsidP="00F566FB">
      <w:pPr>
        <w:numPr>
          <w:ilvl w:val="0"/>
          <w:numId w:val="22"/>
        </w:numPr>
        <w:ind w:left="567" w:hanging="425"/>
        <w:contextualSpacing/>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790DA7CA" w14:textId="77777777" w:rsidR="00457FB4" w:rsidRPr="00956472" w:rsidRDefault="00457FB4" w:rsidP="00F566FB">
      <w:pPr>
        <w:contextualSpacing/>
        <w:jc w:val="both"/>
        <w:rPr>
          <w:szCs w:val="24"/>
        </w:rPr>
      </w:pPr>
    </w:p>
    <w:p w14:paraId="1BEAF648" w14:textId="77777777" w:rsidR="00457FB4" w:rsidRPr="00956472" w:rsidRDefault="00457FB4" w:rsidP="00F566FB">
      <w:pPr>
        <w:contextualSpacing/>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FF6F26A" w14:textId="77777777" w:rsidR="00457FB4" w:rsidRDefault="00457FB4" w:rsidP="00457FB4">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w:t>
      </w:r>
      <w:r>
        <w:lastRenderedPageBreak/>
        <w:t xml:space="preserve">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FBE8035" w14:textId="77777777" w:rsidR="00457FB4" w:rsidRDefault="00457FB4" w:rsidP="00457FB4">
      <w:pPr>
        <w:jc w:val="both"/>
      </w:pPr>
    </w:p>
    <w:p w14:paraId="2A4957D5" w14:textId="77777777" w:rsidR="00457FB4" w:rsidRPr="005220DA" w:rsidRDefault="00457FB4" w:rsidP="00457FB4">
      <w:pPr>
        <w:pStyle w:val="Rientrocorpodeltesto2"/>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5F7B8C21" w14:textId="77777777" w:rsidR="00457FB4" w:rsidRPr="000D70D7" w:rsidRDefault="00457FB4" w:rsidP="00F566FB">
      <w:pPr>
        <w:pStyle w:val="Paragrafoelenco"/>
        <w:ind w:left="0"/>
        <w:jc w:val="both"/>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15 giorni</w:t>
      </w:r>
      <w:r w:rsidRPr="000D70D7">
        <w:rPr>
          <w:lang w:eastAsia="en-US"/>
        </w:rPr>
        <w:t>, salvo riconoscere al destinatario dell’assegno, nell'ipotesi di attività già in corso, il corrispettivo nella misura spettante sino alla data di chiusura del progetto.</w:t>
      </w:r>
    </w:p>
    <w:p w14:paraId="21BBB58B" w14:textId="77777777" w:rsidR="00457FB4" w:rsidRDefault="00457FB4" w:rsidP="00457FB4">
      <w:pPr>
        <w:jc w:val="both"/>
        <w:rPr>
          <w:b/>
          <w:bCs/>
          <w:lang w:eastAsia="en-US"/>
        </w:rPr>
      </w:pPr>
    </w:p>
    <w:p w14:paraId="39304A06" w14:textId="77777777" w:rsidR="00457FB4" w:rsidRPr="005220DA" w:rsidRDefault="00457FB4" w:rsidP="00457FB4">
      <w:pPr>
        <w:pStyle w:val="Titolo2"/>
        <w:keepNext w:val="0"/>
        <w:rPr>
          <w:b/>
          <w:iCs/>
          <w:sz w:val="24"/>
        </w:rPr>
      </w:pPr>
      <w:r w:rsidRPr="005220DA">
        <w:rPr>
          <w:b/>
          <w:sz w:val="24"/>
        </w:rPr>
        <w:t>Art. 9</w:t>
      </w:r>
    </w:p>
    <w:p w14:paraId="0C948852" w14:textId="77777777" w:rsidR="00457FB4" w:rsidRDefault="00457FB4" w:rsidP="00457FB4">
      <w:pPr>
        <w:pStyle w:val="Titolo1"/>
        <w:keepNext w:val="0"/>
      </w:pPr>
      <w:r w:rsidRPr="005220DA">
        <w:rPr>
          <w:b/>
          <w:sz w:val="24"/>
        </w:rPr>
        <w:t>Valutazione dell’attività di ricerca</w:t>
      </w:r>
    </w:p>
    <w:p w14:paraId="393E77D9" w14:textId="77777777" w:rsidR="00457FB4" w:rsidRDefault="00457FB4" w:rsidP="00457FB4">
      <w:pPr>
        <w:jc w:val="both"/>
      </w:pPr>
    </w:p>
    <w:p w14:paraId="2C88934E" w14:textId="77777777" w:rsidR="00457FB4" w:rsidRPr="003019EF" w:rsidRDefault="00457FB4" w:rsidP="00457FB4">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0E87D827" w14:textId="77777777" w:rsidR="00457FB4" w:rsidRDefault="00457FB4" w:rsidP="00457FB4">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C7C0838" w14:textId="77777777" w:rsidR="00457FB4" w:rsidRDefault="00457FB4" w:rsidP="00457FB4">
      <w:pPr>
        <w:rPr>
          <w:b/>
          <w:snapToGrid w:val="0"/>
        </w:rPr>
      </w:pPr>
    </w:p>
    <w:p w14:paraId="0D53FABA" w14:textId="77777777" w:rsidR="00457FB4" w:rsidRPr="005220DA" w:rsidRDefault="00457FB4" w:rsidP="00457FB4">
      <w:pPr>
        <w:pStyle w:val="Titolo1"/>
        <w:keepNext w:val="0"/>
        <w:rPr>
          <w:b/>
          <w:sz w:val="24"/>
        </w:rPr>
      </w:pPr>
      <w:r w:rsidRPr="005220DA">
        <w:rPr>
          <w:b/>
          <w:sz w:val="24"/>
        </w:rPr>
        <w:t>Art. 10</w:t>
      </w:r>
    </w:p>
    <w:p w14:paraId="69C675C1" w14:textId="77777777" w:rsidR="00457FB4" w:rsidRPr="005220DA" w:rsidRDefault="00457FB4" w:rsidP="00457FB4">
      <w:pPr>
        <w:pStyle w:val="Titolo1"/>
        <w:keepNext w:val="0"/>
        <w:rPr>
          <w:b/>
          <w:sz w:val="24"/>
        </w:rPr>
      </w:pPr>
      <w:r w:rsidRPr="005220DA">
        <w:rPr>
          <w:b/>
          <w:sz w:val="24"/>
        </w:rPr>
        <w:t>Trattamento dei dati personali</w:t>
      </w:r>
    </w:p>
    <w:p w14:paraId="7DA05230" w14:textId="77777777" w:rsidR="00457FB4" w:rsidRDefault="00457FB4" w:rsidP="00457FB4"/>
    <w:p w14:paraId="0A7DFCEB" w14:textId="5AC330A7" w:rsidR="00457FB4" w:rsidRPr="002640D0" w:rsidRDefault="00457FB4" w:rsidP="005220DA">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E5C720E" w14:textId="77777777" w:rsidR="00457FB4" w:rsidRPr="00315100" w:rsidRDefault="00457FB4" w:rsidP="005220DA">
      <w:pPr>
        <w:pStyle w:val="Grigliachiara-Colore31"/>
        <w:widowControl w:val="0"/>
        <w:ind w:left="0" w:firstLine="0"/>
        <w:rPr>
          <w:rFonts w:cs="Times New Roman"/>
          <w:sz w:val="24"/>
          <w:szCs w:val="24"/>
          <w:lang w:val="it-IT"/>
        </w:rPr>
      </w:pPr>
      <w:r w:rsidRPr="00FF4C57">
        <w:rPr>
          <w:sz w:val="24"/>
          <w:szCs w:val="24"/>
          <w:lang w:val="it-IT"/>
        </w:rPr>
        <w:t xml:space="preserve">I dati saranno trattati dal Consiglio Nazionale delle Ricerche – Piazzale Aldo Moro n. 7 – 00185 Roma in qualità di Titolare del trattamento, in conformità al </w:t>
      </w:r>
      <w:r w:rsidRPr="00FF4C57">
        <w:rPr>
          <w:iCs/>
          <w:sz w:val="24"/>
          <w:szCs w:val="24"/>
          <w:lang w:val="it-IT"/>
        </w:rPr>
        <w:t>Regolamento (UE) n. 2016/679 e al D.Lgs 196/2003. I</w:t>
      </w:r>
      <w:r w:rsidRPr="00315100">
        <w:rPr>
          <w:rFonts w:cs="Times New Roman"/>
          <w:sz w:val="24"/>
          <w:szCs w:val="24"/>
          <w:lang w:val="it-IT"/>
        </w:rPr>
        <w:t xml:space="preserve">l punto di contatto presso il Titolare è il Direttore dell’ISTC i cui dati di contatto sono: direzione@istc.cnr.it – via </w:t>
      </w:r>
      <w:r>
        <w:rPr>
          <w:rFonts w:cs="Times New Roman"/>
          <w:sz w:val="24"/>
          <w:szCs w:val="24"/>
          <w:lang w:val="it-IT"/>
        </w:rPr>
        <w:t>Romagnosi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B903CC8" w14:textId="77777777" w:rsidR="00457FB4" w:rsidRPr="002640D0" w:rsidRDefault="00457FB4" w:rsidP="005220DA">
      <w:pPr>
        <w:pStyle w:val="Paragrafoelenco"/>
        <w:widowControl w:val="0"/>
        <w:ind w:left="0"/>
        <w:jc w:val="both"/>
      </w:pPr>
      <w:r w:rsidRPr="002640D0">
        <w:t>Il conferimento dei dati è obbligatorio ai fini della valutazione dei requisiti di partecipazione, pena l’esclusione dalla selezione.</w:t>
      </w:r>
    </w:p>
    <w:p w14:paraId="47789940" w14:textId="77777777" w:rsidR="00457FB4" w:rsidRPr="002640D0" w:rsidRDefault="00457FB4" w:rsidP="00457FB4">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789C08DC" w14:textId="77777777" w:rsidR="00457FB4" w:rsidRPr="00981CD8" w:rsidRDefault="00457FB4" w:rsidP="00457FB4"/>
    <w:p w14:paraId="150CCD3F" w14:textId="77777777" w:rsidR="00457FB4" w:rsidRDefault="00457FB4" w:rsidP="00457FB4">
      <w:pPr>
        <w:jc w:val="center"/>
        <w:rPr>
          <w:b/>
          <w:snapToGrid w:val="0"/>
        </w:rPr>
      </w:pPr>
      <w:r>
        <w:rPr>
          <w:b/>
          <w:snapToGrid w:val="0"/>
        </w:rPr>
        <w:t>Art. 11</w:t>
      </w:r>
    </w:p>
    <w:p w14:paraId="272A9DF7" w14:textId="3DD302C0" w:rsidR="00457FB4" w:rsidRPr="005220DA" w:rsidRDefault="005220DA" w:rsidP="005220DA">
      <w:pPr>
        <w:pStyle w:val="Titolo4"/>
        <w:keepNext w:val="0"/>
        <w:ind w:left="3306" w:firstLine="294"/>
        <w:rPr>
          <w:b/>
        </w:rPr>
      </w:pPr>
      <w:r>
        <w:rPr>
          <w:b/>
        </w:rPr>
        <w:t xml:space="preserve">           </w:t>
      </w:r>
      <w:r w:rsidR="00457FB4" w:rsidRPr="005220DA">
        <w:rPr>
          <w:b/>
        </w:rPr>
        <w:t>Pubblicità</w:t>
      </w:r>
    </w:p>
    <w:p w14:paraId="28FAC96D" w14:textId="77777777" w:rsidR="00457FB4" w:rsidRDefault="00457FB4" w:rsidP="00457FB4">
      <w:pPr>
        <w:rPr>
          <w:b/>
          <w:snapToGrid w:val="0"/>
        </w:rPr>
      </w:pPr>
    </w:p>
    <w:p w14:paraId="380E1305" w14:textId="77777777" w:rsidR="00457FB4" w:rsidRDefault="00457FB4" w:rsidP="00457FB4">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9" w:history="1">
        <w:r w:rsidRPr="00315100">
          <w:rPr>
            <w:rStyle w:val="Hyperlink1"/>
            <w:szCs w:val="24"/>
          </w:rPr>
          <w:t>www.istc.cnr.it</w:t>
        </w:r>
      </w:hyperlink>
      <w:r w:rsidRPr="000E2BC9">
        <w:rPr>
          <w:szCs w:val="24"/>
        </w:rPr>
        <w:t xml:space="preserve">, nonché mediante pubblicazione sul sito Internet del CNR </w:t>
      </w:r>
      <w:hyperlink r:id="rId20"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0EFC780B" w14:textId="77777777" w:rsidR="00457FB4" w:rsidRDefault="00457FB4" w:rsidP="00457FB4">
      <w:pPr>
        <w:autoSpaceDE w:val="0"/>
        <w:autoSpaceDN w:val="0"/>
        <w:jc w:val="both"/>
        <w:rPr>
          <w:szCs w:val="24"/>
        </w:rPr>
      </w:pPr>
    </w:p>
    <w:p w14:paraId="0695ED94" w14:textId="77777777" w:rsidR="00457FB4" w:rsidRPr="0094610A" w:rsidRDefault="00457FB4" w:rsidP="00457FB4">
      <w:pPr>
        <w:autoSpaceDE w:val="0"/>
        <w:autoSpaceDN w:val="0"/>
        <w:ind w:left="3545" w:firstLine="709"/>
        <w:jc w:val="both"/>
        <w:rPr>
          <w:b/>
        </w:rPr>
      </w:pPr>
      <w:r>
        <w:rPr>
          <w:b/>
        </w:rPr>
        <w:t xml:space="preserve">    </w:t>
      </w:r>
      <w:r w:rsidRPr="0094610A">
        <w:rPr>
          <w:b/>
        </w:rPr>
        <w:t>Art. 12</w:t>
      </w:r>
    </w:p>
    <w:p w14:paraId="40C8075B" w14:textId="77777777" w:rsidR="00457FB4" w:rsidRDefault="00457FB4" w:rsidP="00457FB4">
      <w:pPr>
        <w:jc w:val="center"/>
        <w:rPr>
          <w:b/>
          <w:snapToGrid w:val="0"/>
        </w:rPr>
      </w:pPr>
      <w:r>
        <w:rPr>
          <w:b/>
          <w:snapToGrid w:val="0"/>
        </w:rPr>
        <w:t>Disposizioni finali</w:t>
      </w:r>
    </w:p>
    <w:p w14:paraId="54CEF790" w14:textId="77777777" w:rsidR="00457FB4" w:rsidRDefault="00457FB4" w:rsidP="00457FB4">
      <w:pPr>
        <w:rPr>
          <w:snapToGrid w:val="0"/>
        </w:rPr>
      </w:pPr>
    </w:p>
    <w:p w14:paraId="22FC306C" w14:textId="77777777" w:rsidR="00457FB4" w:rsidRDefault="00457FB4" w:rsidP="00457FB4">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FDA624C" w14:textId="77777777" w:rsidR="00457FB4" w:rsidRDefault="00457FB4" w:rsidP="00457FB4">
      <w:pPr>
        <w:jc w:val="both"/>
        <w:rPr>
          <w:snapToGrid w:val="0"/>
        </w:rPr>
      </w:pP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0A39C9BD"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005220DA">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08123355" w14:textId="77777777" w:rsidR="00457FB4" w:rsidRDefault="00457FB4" w:rsidP="00457FB4">
      <w:pPr>
        <w:pStyle w:val="Titolo6"/>
        <w:keepNext w:val="0"/>
        <w:ind w:firstLine="4820"/>
        <w:jc w:val="center"/>
      </w:pPr>
    </w:p>
    <w:p w14:paraId="3D480C09" w14:textId="77777777" w:rsidR="00457FB4" w:rsidRDefault="00457FB4" w:rsidP="00457FB4">
      <w:r>
        <w:br w:type="page"/>
      </w:r>
    </w:p>
    <w:p w14:paraId="10028C0A" w14:textId="77777777" w:rsidR="00457FB4" w:rsidRDefault="00457FB4" w:rsidP="00457FB4">
      <w:pPr>
        <w:pStyle w:val="Titolo2"/>
      </w:pPr>
      <w:r>
        <w:lastRenderedPageBreak/>
        <w:t>Appendice (1) Contenuto della ricerca</w:t>
      </w:r>
    </w:p>
    <w:p w14:paraId="38BAC2B7" w14:textId="77777777" w:rsidR="005220DA" w:rsidRDefault="005220DA" w:rsidP="00457FB4"/>
    <w:p w14:paraId="4CC31C25" w14:textId="65FD127A" w:rsidR="00457FB4" w:rsidRDefault="00457FB4" w:rsidP="00457FB4">
      <w:r>
        <w:t>COoperazione e BRAin-Synchrony: un approccio multiscala– Finanziato nell’ambito del PRIN PROGETTI DI RICERCA DI RILEVANTE INTERESSE NAZIONALE (2022-2024)</w:t>
      </w:r>
    </w:p>
    <w:p w14:paraId="741BA057" w14:textId="77777777" w:rsidR="00457FB4" w:rsidRDefault="00457FB4" w:rsidP="00457FB4"/>
    <w:p w14:paraId="62E30ED5" w14:textId="77777777" w:rsidR="00457FB4" w:rsidRDefault="00457FB4" w:rsidP="00457FB4">
      <w:r>
        <w:t>Gli esseri umani sono animali sociali. Il successo degli esseri umani è dovuto principalmente alla cooperazione degli individui, almeno di un piccolo gruppo. La capacità di cooperare con successo può essere ascritta a diversi fattori, tra cui la capacità di sincronizzare l'attività cerebrale, attraverso messaggi incarnativi, visivi e uditivi. La ricompensa psicologica per una cooperazione e una sincronicità di successo è una componente del benessere individuale.</w:t>
      </w:r>
    </w:p>
    <w:p w14:paraId="3BBCEA81" w14:textId="77777777" w:rsidR="00457FB4" w:rsidRDefault="00457FB4" w:rsidP="00457FB4"/>
    <w:p w14:paraId="597D2AA2" w14:textId="77777777" w:rsidR="00457FB4" w:rsidRDefault="00457FB4" w:rsidP="00457FB4">
      <w:r>
        <w:t xml:space="preserve">Lo scopo di questo progetto è quello di esplorare le connessioni tra la sincronizzazione del cervello e la cooperazione efficace negli animali e nell’uomo, e come ciò si riflette sul benessere umano. La nostra ipotesi centrale è che una caratteristica importante della cooperazione sia rappresentata dalla sincronizzazione di diverse aree corticali tra soggetti interagenti. </w:t>
      </w:r>
    </w:p>
    <w:p w14:paraId="31D9658A" w14:textId="77777777" w:rsidR="00457FB4" w:rsidRDefault="00457FB4" w:rsidP="00457FB4"/>
    <w:p w14:paraId="7C192D0E" w14:textId="77777777" w:rsidR="00457FB4" w:rsidRDefault="00457FB4" w:rsidP="00457FB4">
      <w:r>
        <w:t xml:space="preserve">Inoltre l'emergere di questa sincronizzazione dipende dall'attivazione di una particolare rete di aree cerebrali, vale a dire la rete prefrontale dorsolaterale. </w:t>
      </w:r>
    </w:p>
    <w:p w14:paraId="6CE26EB0" w14:textId="77777777" w:rsidR="00457FB4" w:rsidRDefault="00457FB4" w:rsidP="00457FB4"/>
    <w:p w14:paraId="45BD58D6" w14:textId="77777777" w:rsidR="00457FB4" w:rsidRDefault="00457FB4" w:rsidP="00457FB4">
      <w:r>
        <w:t xml:space="preserve">Crediamo che promuovere la sincronizzazione possa migliorare la qualità delle interazioni sociali e che sia un passo cruciale per il benessere umano. Progettiamo di sviluppare un apparato sperimentale utilizzando modelli animali e umani, al fine di testare la traducibilità dell'ipotesi e sviluppare una solida approssimazione computazionale di questo comportamento. </w:t>
      </w:r>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78AC8502"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w:t>
      </w:r>
      <w:r w:rsidR="00E7161D">
        <w:rPr>
          <w:rFonts w:cs="Times New Roman"/>
          <w:sz w:val="20"/>
          <w:szCs w:val="20"/>
        </w:rPr>
        <w:t>13</w:t>
      </w:r>
      <w:r>
        <w:rPr>
          <w:rFonts w:cs="Times New Roman"/>
          <w:sz w:val="20"/>
          <w:szCs w:val="20"/>
        </w:rPr>
        <w:t>-2024-RM</w:t>
      </w:r>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11704EB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_l_sottoscritt_ …………………………………………………………………………………………</w:t>
      </w:r>
    </w:p>
    <w:p w14:paraId="1C886B2B"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8841C4D" w14:textId="77777777" w:rsidR="00457FB4" w:rsidRPr="000010E8" w:rsidRDefault="00457FB4" w:rsidP="00457FB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3F3E7AFB" w14:textId="77777777" w:rsidR="00457FB4" w:rsidRPr="000010E8" w:rsidRDefault="00457FB4" w:rsidP="00457FB4">
      <w:pPr>
        <w:pStyle w:val="Body"/>
        <w:spacing w:line="276" w:lineRule="auto"/>
        <w:jc w:val="both"/>
        <w:rPr>
          <w:rFonts w:eastAsia="Verdana" w:cs="Times New Roman"/>
          <w:sz w:val="20"/>
          <w:szCs w:val="20"/>
        </w:rPr>
      </w:pPr>
    </w:p>
    <w:p w14:paraId="5B00D430" w14:textId="7A78CB18" w:rsidR="00457FB4" w:rsidRPr="000010E8"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w:t>
      </w:r>
      <w:r w:rsidR="00F566FB">
        <w:rPr>
          <w:sz w:val="20"/>
        </w:rPr>
        <w:t>2</w:t>
      </w:r>
      <w:r w:rsidRPr="000010E8">
        <w:rPr>
          <w:sz w:val="20"/>
        </w:rPr>
        <w:t xml:space="preserve"> assegn</w:t>
      </w:r>
      <w:r w:rsidR="00F566FB">
        <w:rPr>
          <w:sz w:val="20"/>
        </w:rPr>
        <w:t>i</w:t>
      </w:r>
      <w:r w:rsidRPr="000010E8">
        <w:rPr>
          <w:sz w:val="20"/>
        </w:rPr>
        <w:t xml:space="preserve"> per lo svolgimento di attività di ricerca nell'ambito del progetto </w:t>
      </w:r>
      <w:r w:rsidRPr="0077378D">
        <w:rPr>
          <w:sz w:val="20"/>
        </w:rPr>
        <w:t xml:space="preserve">di ricerca  </w:t>
      </w:r>
      <w:r w:rsidRPr="00930AA9">
        <w:rPr>
          <w:sz w:val="20"/>
        </w:rPr>
        <w:t>“</w:t>
      </w:r>
      <w:r w:rsidRPr="00787D8B">
        <w:rPr>
          <w:sz w:val="20"/>
          <w:shd w:val="clear" w:color="auto" w:fill="FFFFFF"/>
        </w:rPr>
        <w:t>Cooperation and Brain-Synchrony in human and non-human subjects: a multiscale and translable study, COBRA</w:t>
      </w:r>
      <w:r w:rsidRPr="00930AA9">
        <w:rPr>
          <w:sz w:val="20"/>
        </w:rPr>
        <w:t>”, sotto la responsabilità scientifica del dott.</w:t>
      </w:r>
      <w:r>
        <w:rPr>
          <w:sz w:val="20"/>
        </w:rPr>
        <w:t xml:space="preserve"> Daniele Vilone </w:t>
      </w:r>
      <w:r w:rsidRPr="000010E8">
        <w:rPr>
          <w:sz w:val="20"/>
        </w:rPr>
        <w:t>da svolgersi presso la sede dell’Istituto di Scienze e Tecnologie della Cognizione di Roma.</w:t>
      </w:r>
    </w:p>
    <w:p w14:paraId="49D90995"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651724C"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9A86EF"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4C373094"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7C4F689E"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6D60D9"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292A9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E53C0D1"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0E18E33A"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BD1DE9E" w14:textId="77777777" w:rsidR="00457FB4" w:rsidRPr="000010E8" w:rsidRDefault="00457FB4" w:rsidP="00457FB4">
      <w:pPr>
        <w:pStyle w:val="Body"/>
        <w:spacing w:line="276" w:lineRule="auto"/>
        <w:jc w:val="both"/>
        <w:rPr>
          <w:rFonts w:eastAsia="Verdana" w:cs="Times New Roman"/>
          <w:sz w:val="20"/>
          <w:szCs w:val="20"/>
        </w:rPr>
      </w:pPr>
    </w:p>
    <w:p w14:paraId="6D5636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F6B3F64" w14:textId="77777777" w:rsidR="00457FB4" w:rsidRDefault="00457FB4" w:rsidP="00457FB4">
      <w:pPr>
        <w:pStyle w:val="Body"/>
        <w:jc w:val="both"/>
        <w:rPr>
          <w:rFonts w:cs="Times New Roman"/>
          <w:sz w:val="20"/>
          <w:szCs w:val="20"/>
        </w:rPr>
      </w:pPr>
    </w:p>
    <w:p w14:paraId="706B9D97" w14:textId="77777777" w:rsidR="00457FB4" w:rsidRPr="000010E8" w:rsidRDefault="00457FB4" w:rsidP="00457FB4">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p w14:paraId="15B4E6A4"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w:t>
      </w:r>
    </w:p>
    <w:p w14:paraId="5800E3AA"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52AD28A" w14:textId="77777777" w:rsidR="00457FB4" w:rsidRPr="000010E8" w:rsidRDefault="00457FB4" w:rsidP="00457FB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6DBD38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A4F6C69"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3FEEE15"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760071D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A1D547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(per le donne indicare il cognome da nubile)</w:t>
      </w:r>
    </w:p>
    <w:p w14:paraId="223E857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5393FCF4"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F5BEFB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3508E9FF"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05A84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1E15F1C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IL_________________________________________</w:t>
      </w:r>
    </w:p>
    <w:p w14:paraId="4AE84EE8"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4D27F34C" w14:textId="77777777" w:rsidR="00457FB4" w:rsidRPr="000010E8" w:rsidRDefault="00457FB4" w:rsidP="00457FB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0AD7C5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A888F6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F2C5F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3A1D3F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TELEFONO____________________________________________</w:t>
      </w:r>
    </w:p>
    <w:p w14:paraId="524CD9BB" w14:textId="77777777" w:rsidR="00457FB4" w:rsidRPr="000010E8" w:rsidRDefault="00457FB4" w:rsidP="00457FB4">
      <w:pPr>
        <w:pStyle w:val="Body"/>
        <w:jc w:val="both"/>
        <w:rPr>
          <w:rFonts w:eastAsia="Verdana" w:cs="Times New Roman"/>
          <w:sz w:val="20"/>
          <w:szCs w:val="20"/>
        </w:rPr>
      </w:pPr>
    </w:p>
    <w:p w14:paraId="6949CD92"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6056CB"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DEE9425" w14:textId="77777777" w:rsidR="00457FB4" w:rsidRPr="000010E8" w:rsidRDefault="00457FB4" w:rsidP="00457FB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04B62696"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AF3057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8263A5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Allega:</w:t>
      </w:r>
    </w:p>
    <w:p w14:paraId="2D9902B5"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209B132"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28DFA408"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26A48AB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Data, luogo .................</w:t>
      </w:r>
    </w:p>
    <w:p w14:paraId="116A7715"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t>firma ................................................................</w:t>
      </w:r>
    </w:p>
    <w:p w14:paraId="3C6729FC" w14:textId="77777777" w:rsidR="00457FB4" w:rsidRPr="000010E8" w:rsidRDefault="00457FB4" w:rsidP="00457FB4">
      <w:pPr>
        <w:rPr>
          <w:color w:val="000000"/>
          <w:sz w:val="20"/>
          <w:u w:color="000000"/>
          <w14:textOutline w14:w="0" w14:cap="flat" w14:cmpd="sng" w14:algn="ctr">
            <w14:noFill/>
            <w14:prstDash w14:val="solid"/>
            <w14:bevel/>
          </w14:textOutline>
        </w:rPr>
      </w:pPr>
    </w:p>
    <w:p w14:paraId="5CC27BB7" w14:textId="77777777" w:rsidR="00457FB4" w:rsidRPr="000010E8" w:rsidRDefault="00457FB4" w:rsidP="00457FB4">
      <w:pPr>
        <w:pStyle w:val="Body"/>
        <w:spacing w:after="160" w:line="259" w:lineRule="auto"/>
        <w:rPr>
          <w:rFonts w:eastAsia="Verdana" w:cs="Times New Roman"/>
          <w:sz w:val="20"/>
          <w:szCs w:val="20"/>
        </w:rPr>
      </w:pPr>
    </w:p>
    <w:p w14:paraId="2C110D26" w14:textId="77777777" w:rsidR="00457FB4" w:rsidRDefault="00457FB4" w:rsidP="00457FB4">
      <w:pPr>
        <w:pStyle w:val="Body"/>
        <w:spacing w:after="160" w:line="259" w:lineRule="auto"/>
        <w:rPr>
          <w:rFonts w:cs="Times New Roman"/>
          <w:b/>
          <w:bCs/>
          <w:sz w:val="20"/>
          <w:szCs w:val="20"/>
        </w:rPr>
      </w:pPr>
    </w:p>
    <w:p w14:paraId="25323356" w14:textId="77777777" w:rsidR="00457FB4" w:rsidRDefault="00457FB4" w:rsidP="00457FB4">
      <w:pPr>
        <w:pStyle w:val="Body"/>
        <w:spacing w:after="160" w:line="259" w:lineRule="auto"/>
        <w:rPr>
          <w:rFonts w:cs="Times New Roman"/>
          <w:b/>
          <w:bCs/>
          <w:sz w:val="20"/>
          <w:szCs w:val="20"/>
        </w:rPr>
      </w:pPr>
    </w:p>
    <w:p w14:paraId="11E83D7E" w14:textId="77777777" w:rsidR="00457FB4" w:rsidRDefault="00457FB4" w:rsidP="00457FB4">
      <w:pPr>
        <w:pStyle w:val="Body"/>
        <w:spacing w:after="160" w:line="259" w:lineRule="auto"/>
        <w:rPr>
          <w:rFonts w:cs="Times New Roman"/>
          <w:b/>
          <w:bCs/>
          <w:sz w:val="20"/>
          <w:szCs w:val="20"/>
        </w:rPr>
      </w:pPr>
    </w:p>
    <w:p w14:paraId="158BB6AF" w14:textId="77777777" w:rsidR="00457FB4" w:rsidRDefault="00457FB4" w:rsidP="00457FB4">
      <w:pPr>
        <w:pStyle w:val="Body"/>
        <w:spacing w:after="160" w:line="259" w:lineRule="auto"/>
        <w:rPr>
          <w:rFonts w:cs="Times New Roman"/>
          <w:b/>
          <w:bCs/>
          <w:sz w:val="20"/>
          <w:szCs w:val="20"/>
        </w:rPr>
      </w:pPr>
    </w:p>
    <w:p w14:paraId="2BEC1BFC"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b/>
          <w:bCs/>
          <w:sz w:val="20"/>
          <w:szCs w:val="20"/>
        </w:rPr>
        <w:t>AVVERTENZE</w:t>
      </w:r>
    </w:p>
    <w:p w14:paraId="1BFA662B"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02E4E5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3B8168A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E99B0DA"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9228CA4"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7A235A"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br w:type="page"/>
      </w:r>
    </w:p>
    <w:p w14:paraId="31AB213E"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B1</w:t>
      </w:r>
    </w:p>
    <w:p w14:paraId="0D27106F"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CV cover letter</w:t>
      </w:r>
    </w:p>
    <w:p w14:paraId="2EAE1BB0" w14:textId="77777777" w:rsidR="00457FB4" w:rsidRPr="000010E8" w:rsidRDefault="00457FB4" w:rsidP="00457FB4">
      <w:pPr>
        <w:pStyle w:val="Body"/>
        <w:spacing w:after="160" w:line="259" w:lineRule="auto"/>
        <w:rPr>
          <w:rFonts w:eastAsia="Verdana" w:cs="Times New Roman"/>
        </w:rPr>
      </w:pPr>
    </w:p>
    <w:p w14:paraId="6868EC9A" w14:textId="77777777" w:rsidR="00457FB4" w:rsidRPr="000010E8" w:rsidRDefault="00457FB4" w:rsidP="00457FB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1C49BC98" w14:textId="77777777" w:rsidR="00457FB4" w:rsidRPr="000010E8" w:rsidRDefault="00457FB4" w:rsidP="00457FB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4991F45" wp14:editId="71517A1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4991F4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DC6F238" wp14:editId="34472B0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wps:txbx>
                      <wps:bodyPr wrap="square" lIns="45719" tIns="45719" rIns="45719" bIns="45719" numCol="1" anchor="ctr">
                        <a:noAutofit/>
                      </wps:bodyPr>
                    </wps:wsp>
                  </a:graphicData>
                </a:graphic>
              </wp:anchor>
            </w:drawing>
          </mc:Choice>
          <mc:Fallback>
            <w:pict>
              <v:rect w14:anchorId="5DC6F23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v:textbox>
                <w10:wrap anchory="line"/>
              </v:rect>
            </w:pict>
          </mc:Fallback>
        </mc:AlternateContent>
      </w:r>
    </w:p>
    <w:p w14:paraId="53D4D53B" w14:textId="77777777" w:rsidR="00457FB4" w:rsidRPr="000010E8" w:rsidRDefault="00457FB4" w:rsidP="00457FB4">
      <w:pPr>
        <w:pStyle w:val="Body"/>
        <w:spacing w:after="160" w:line="259" w:lineRule="auto"/>
        <w:rPr>
          <w:rFonts w:eastAsia="Verdana" w:cs="Times New Roman"/>
        </w:rPr>
      </w:pPr>
    </w:p>
    <w:p w14:paraId="27051340" w14:textId="77777777" w:rsidR="00457FB4" w:rsidRPr="000010E8" w:rsidRDefault="00457FB4" w:rsidP="00457FB4">
      <w:pPr>
        <w:pStyle w:val="Body"/>
        <w:spacing w:after="160" w:line="259" w:lineRule="auto"/>
        <w:rPr>
          <w:rFonts w:eastAsia="Verdana" w:cs="Times New Roman"/>
        </w:rPr>
      </w:pPr>
    </w:p>
    <w:p w14:paraId="08C0376D" w14:textId="77777777" w:rsidR="00457FB4" w:rsidRPr="000010E8" w:rsidRDefault="00457FB4" w:rsidP="00457FB4">
      <w:pPr>
        <w:pStyle w:val="Body"/>
        <w:spacing w:after="160" w:line="259" w:lineRule="auto"/>
        <w:rPr>
          <w:rFonts w:eastAsia="Verdana" w:cs="Times New Roman"/>
        </w:rPr>
      </w:pPr>
    </w:p>
    <w:p w14:paraId="511AF46A" w14:textId="77777777" w:rsidR="00457FB4" w:rsidRPr="000010E8" w:rsidRDefault="00457FB4" w:rsidP="00457FB4">
      <w:pPr>
        <w:pStyle w:val="Body"/>
        <w:spacing w:after="160" w:line="259" w:lineRule="auto"/>
        <w:rPr>
          <w:rFonts w:eastAsia="Verdana" w:cs="Times New Roman"/>
        </w:rPr>
      </w:pPr>
    </w:p>
    <w:p w14:paraId="121F599B" w14:textId="77777777" w:rsidR="00457FB4" w:rsidRPr="000010E8" w:rsidRDefault="00457FB4" w:rsidP="00457FB4">
      <w:pPr>
        <w:pStyle w:val="Body"/>
        <w:spacing w:after="160" w:line="259" w:lineRule="auto"/>
        <w:rPr>
          <w:rFonts w:eastAsia="Verdana" w:cs="Times New Roman"/>
        </w:rPr>
      </w:pPr>
    </w:p>
    <w:p w14:paraId="57BD53A4" w14:textId="77777777" w:rsidR="00457FB4" w:rsidRPr="000010E8" w:rsidRDefault="00457FB4" w:rsidP="00457FB4">
      <w:pPr>
        <w:pStyle w:val="Body"/>
        <w:spacing w:after="160" w:line="259" w:lineRule="auto"/>
        <w:rPr>
          <w:rFonts w:eastAsia="Verdana" w:cs="Times New Roman"/>
        </w:rPr>
      </w:pPr>
      <w:r w:rsidRPr="000010E8">
        <w:rPr>
          <w:rFonts w:cs="Times New Roman"/>
        </w:rPr>
        <w:t>Altre informazioni personali</w:t>
      </w:r>
    </w:p>
    <w:p w14:paraId="153EAD99"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20967317"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46CA0F26" w14:textId="77777777" w:rsidR="00457FB4" w:rsidRPr="000010E8" w:rsidRDefault="00457FB4" w:rsidP="00457FB4">
      <w:pPr>
        <w:pStyle w:val="Body"/>
        <w:spacing w:after="160" w:line="259" w:lineRule="auto"/>
        <w:rPr>
          <w:rFonts w:eastAsia="Calibri" w:cs="Times New Roman"/>
        </w:rPr>
      </w:pPr>
    </w:p>
    <w:p w14:paraId="50B3FDD2" w14:textId="77777777" w:rsidR="00457FB4" w:rsidRPr="000010E8" w:rsidRDefault="00457FB4" w:rsidP="00457FB4">
      <w:pPr>
        <w:pStyle w:val="Body"/>
        <w:spacing w:after="160" w:line="259" w:lineRule="auto"/>
        <w:jc w:val="center"/>
        <w:rPr>
          <w:rFonts w:eastAsia="Verdana" w:cs="Times New Roman"/>
        </w:rPr>
      </w:pPr>
      <w:r w:rsidRPr="000010E8">
        <w:rPr>
          <w:rFonts w:cs="Times New Roman"/>
          <w:b/>
          <w:bCs/>
          <w:i/>
          <w:iCs/>
        </w:rPr>
        <w:t>AVVERTENZE</w:t>
      </w:r>
    </w:p>
    <w:p w14:paraId="241D330A"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F3BC0A1"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259AA99" w14:textId="77777777" w:rsidR="00457FB4" w:rsidRPr="000010E8" w:rsidRDefault="00457FB4" w:rsidP="00457FB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4F25559" w14:textId="77777777" w:rsidR="00457FB4" w:rsidRPr="000010E8" w:rsidRDefault="00457FB4" w:rsidP="00457FB4">
      <w:pPr>
        <w:pStyle w:val="Body"/>
        <w:spacing w:after="160" w:line="259" w:lineRule="auto"/>
        <w:rPr>
          <w:rFonts w:cs="Times New Roman"/>
        </w:rPr>
      </w:pPr>
      <w:r w:rsidRPr="000010E8">
        <w:rPr>
          <w:rFonts w:cs="Times New Roman"/>
        </w:rPr>
        <w:br w:type="page"/>
      </w:r>
    </w:p>
    <w:p w14:paraId="1FC0FFCB"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C</w:t>
      </w:r>
    </w:p>
    <w:p w14:paraId="4A21CBAA" w14:textId="77777777" w:rsidR="00457FB4" w:rsidRPr="000010E8" w:rsidRDefault="00457FB4" w:rsidP="00457FB4">
      <w:pPr>
        <w:pStyle w:val="Body"/>
        <w:spacing w:after="160" w:line="259" w:lineRule="auto"/>
        <w:rPr>
          <w:rFonts w:eastAsia="Verdana" w:cs="Times New Roman"/>
        </w:rPr>
      </w:pPr>
    </w:p>
    <w:p w14:paraId="0D8F0616"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42E93EDA" w14:textId="77777777" w:rsidR="00457FB4" w:rsidRPr="000010E8" w:rsidRDefault="00457FB4" w:rsidP="00457FB4">
      <w:pPr>
        <w:pStyle w:val="Body"/>
        <w:spacing w:after="160" w:line="259" w:lineRule="auto"/>
        <w:rPr>
          <w:rFonts w:eastAsia="Verdana" w:cs="Times New Roman"/>
        </w:rPr>
      </w:pPr>
    </w:p>
    <w:p w14:paraId="091D0844" w14:textId="77777777" w:rsidR="00457FB4" w:rsidRPr="000010E8" w:rsidRDefault="00457FB4" w:rsidP="00457FB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9D2CEBA" w14:textId="77777777" w:rsidR="00457FB4" w:rsidRPr="000010E8" w:rsidRDefault="00457FB4" w:rsidP="00457FB4">
      <w:pPr>
        <w:pStyle w:val="Body"/>
        <w:spacing w:after="160" w:line="259" w:lineRule="auto"/>
        <w:rPr>
          <w:rFonts w:eastAsia="Verdana" w:cs="Times New Roman"/>
        </w:rPr>
      </w:pPr>
      <w:r w:rsidRPr="000010E8">
        <w:rPr>
          <w:rFonts w:cs="Times New Roman"/>
        </w:rPr>
        <w:t xml:space="preserve"> </w:t>
      </w:r>
    </w:p>
    <w:p w14:paraId="67518DFC" w14:textId="77777777" w:rsidR="00457FB4" w:rsidRPr="000010E8" w:rsidRDefault="00457FB4" w:rsidP="00457FB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3EC0E346" w14:textId="77777777" w:rsidR="00457FB4" w:rsidRPr="000010E8" w:rsidRDefault="00457FB4" w:rsidP="00457FB4">
      <w:pPr>
        <w:pStyle w:val="Body"/>
        <w:spacing w:after="160" w:line="259" w:lineRule="auto"/>
        <w:rPr>
          <w:rFonts w:eastAsia="Verdana" w:cs="Times New Roman"/>
        </w:rPr>
      </w:pPr>
      <w:r w:rsidRPr="000010E8">
        <w:rPr>
          <w:rFonts w:cs="Times New Roman"/>
        </w:rPr>
        <w:t>data …………………….… protocollo …………………….…</w:t>
      </w:r>
    </w:p>
    <w:p w14:paraId="08DBCF65" w14:textId="77777777" w:rsidR="00457FB4" w:rsidRPr="000010E8" w:rsidRDefault="00457FB4" w:rsidP="00457FB4">
      <w:pPr>
        <w:pStyle w:val="Body"/>
        <w:spacing w:after="160" w:line="259" w:lineRule="auto"/>
        <w:rPr>
          <w:rFonts w:eastAsia="Verdana" w:cs="Times New Roman"/>
        </w:rPr>
      </w:pPr>
      <w:r w:rsidRPr="000010E8">
        <w:rPr>
          <w:rFonts w:cs="Times New Roman"/>
        </w:rPr>
        <w:t>rilasciato da ……………………………………….………………………………...…</w:t>
      </w:r>
    </w:p>
    <w:p w14:paraId="73B01CCC" w14:textId="77777777" w:rsidR="00457FB4" w:rsidRPr="000010E8" w:rsidRDefault="00457FB4" w:rsidP="00457FB4">
      <w:pPr>
        <w:pStyle w:val="Body"/>
        <w:spacing w:after="160" w:line="259" w:lineRule="auto"/>
        <w:rPr>
          <w:rFonts w:eastAsia="Verdana" w:cs="Times New Roman"/>
        </w:rPr>
      </w:pPr>
      <w:r w:rsidRPr="000010E8">
        <w:rPr>
          <w:rFonts w:cs="Times New Roman"/>
        </w:rPr>
        <w:t>periodo di attività dal …………………….… al …………………….…</w:t>
      </w:r>
    </w:p>
    <w:p w14:paraId="464DA669" w14:textId="77777777" w:rsidR="00457FB4" w:rsidRPr="000010E8" w:rsidRDefault="00457FB4" w:rsidP="00457FB4">
      <w:pPr>
        <w:pStyle w:val="Body"/>
        <w:rPr>
          <w:rFonts w:cs="Times New Roman"/>
        </w:rPr>
      </w:pPr>
      <w:r w:rsidRPr="000010E8">
        <w:rPr>
          <w:rFonts w:cs="Times New Roman"/>
        </w:rPr>
        <w:br w:type="page"/>
      </w:r>
    </w:p>
    <w:p w14:paraId="2BF5DDFE" w14:textId="77777777" w:rsidR="00457FB4" w:rsidRPr="00930AA9" w:rsidRDefault="00457FB4" w:rsidP="00457FB4">
      <w:pPr>
        <w:pStyle w:val="Body"/>
        <w:pageBreakBefore/>
        <w:jc w:val="right"/>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1"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2" w:history="1">
        <w:r w:rsidRPr="000010E8">
          <w:rPr>
            <w:rStyle w:val="Hyperlink3"/>
          </w:rPr>
          <w:t>rpd@cnr.it</w:t>
        </w:r>
      </w:hyperlink>
      <w:r w:rsidRPr="000010E8">
        <w:t xml:space="preserve">; PEC: </w:t>
      </w:r>
      <w:hyperlink r:id="rId23"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4"/>
      <w:headerReference w:type="default" r:id="rId25"/>
      <w:footerReference w:type="even" r:id="rId26"/>
      <w:footerReference w:type="default" r:id="rId27"/>
      <w:headerReference w:type="first" r:id="rId28"/>
      <w:footerReference w:type="first" r:id="rId29"/>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A5B5" w14:textId="77777777" w:rsidR="005779F0" w:rsidRDefault="005779F0">
      <w:r>
        <w:separator/>
      </w:r>
    </w:p>
  </w:endnote>
  <w:endnote w:type="continuationSeparator" w:id="0">
    <w:p w14:paraId="4E962BE8" w14:textId="77777777" w:rsidR="005779F0" w:rsidRDefault="005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1E9F12B9" w:rsidR="00055BB7" w:rsidRDefault="00055BB7" w:rsidP="00304632">
    <w:pPr>
      <w:pStyle w:val="Pidipagina"/>
      <w:jc w:val="center"/>
      <w:rPr>
        <w:sz w:val="16"/>
        <w:szCs w:val="16"/>
      </w:rPr>
    </w:pPr>
  </w:p>
  <w:p w14:paraId="04A98B02" w14:textId="72D0769A" w:rsidR="00055BB7" w:rsidRDefault="00055BB7" w:rsidP="00304632">
    <w:pPr>
      <w:pStyle w:val="Pidipagina"/>
      <w:jc w:val="center"/>
      <w:rPr>
        <w:sz w:val="16"/>
        <w:szCs w:val="16"/>
      </w:rPr>
    </w:pPr>
  </w:p>
  <w:p w14:paraId="64BBF462" w14:textId="78FED0CA" w:rsidR="00055BB7" w:rsidRDefault="00055BB7" w:rsidP="00304632">
    <w:pPr>
      <w:pStyle w:val="Pidipagina"/>
      <w:jc w:val="center"/>
      <w:rPr>
        <w:sz w:val="16"/>
        <w:szCs w:val="16"/>
      </w:rPr>
    </w:pPr>
  </w:p>
  <w:p w14:paraId="75FF8AD7" w14:textId="700547BD" w:rsidR="00304632" w:rsidRPr="005A6CF1" w:rsidRDefault="00F566FB"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44DA866E">
          <wp:simplePos x="0" y="0"/>
          <wp:positionH relativeFrom="column">
            <wp:posOffset>-34290</wp:posOffset>
          </wp:positionH>
          <wp:positionV relativeFrom="paragraph">
            <wp:posOffset>44450</wp:posOffset>
          </wp:positionV>
          <wp:extent cx="809625" cy="571500"/>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09625" cy="571500"/>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3360" behindDoc="0" locked="0" layoutInCell="1" allowOverlap="1" wp14:anchorId="762640BF" wp14:editId="167767A5">
          <wp:simplePos x="0" y="0"/>
          <wp:positionH relativeFrom="column">
            <wp:posOffset>5614035</wp:posOffset>
          </wp:positionH>
          <wp:positionV relativeFrom="paragraph">
            <wp:posOffset>44450</wp:posOffset>
          </wp:positionV>
          <wp:extent cx="535940" cy="516255"/>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940" cy="516255"/>
                  </a:xfrm>
                  <a:prstGeom prst="rect">
                    <a:avLst/>
                  </a:prstGeom>
                  <a:noFill/>
                  <a:ln>
                    <a:noFill/>
                  </a:ln>
                </pic:spPr>
              </pic:pic>
            </a:graphicData>
          </a:graphic>
          <wp14:sizeRelV relativeFrom="margin">
            <wp14:pctHeight>0</wp14:pctHeight>
          </wp14:sizeRelV>
        </wp:anchor>
      </w:drawing>
    </w:r>
    <w:r w:rsidR="00304632"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r>
      <w:rPr>
        <w:sz w:val="16"/>
        <w:szCs w:val="16"/>
      </w:rPr>
      <w:t>Romagnosi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Via Gaifami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E6BC" w14:textId="77777777" w:rsidR="005779F0" w:rsidRDefault="005779F0">
      <w:r>
        <w:separator/>
      </w:r>
    </w:p>
  </w:footnote>
  <w:footnote w:type="continuationSeparator" w:id="0">
    <w:p w14:paraId="6B1E6048" w14:textId="77777777" w:rsidR="005779F0" w:rsidRDefault="00577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0"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1"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4"/>
  </w:num>
  <w:num w:numId="3">
    <w:abstractNumId w:val="19"/>
  </w:num>
  <w:num w:numId="4">
    <w:abstractNumId w:val="29"/>
  </w:num>
  <w:num w:numId="5">
    <w:abstractNumId w:val="43"/>
  </w:num>
  <w:num w:numId="6">
    <w:abstractNumId w:val="10"/>
  </w:num>
  <w:num w:numId="7">
    <w:abstractNumId w:val="2"/>
  </w:num>
  <w:num w:numId="8">
    <w:abstractNumId w:val="22"/>
  </w:num>
  <w:num w:numId="9">
    <w:abstractNumId w:val="31"/>
  </w:num>
  <w:num w:numId="10">
    <w:abstractNumId w:val="17"/>
  </w:num>
  <w:num w:numId="11">
    <w:abstractNumId w:val="7"/>
  </w:num>
  <w:num w:numId="12">
    <w:abstractNumId w:val="3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2"/>
  </w:num>
  <w:num w:numId="18">
    <w:abstractNumId w:val="41"/>
    <w:lvlOverride w:ilvl="0">
      <w:startOverride w:val="1"/>
    </w:lvlOverride>
  </w:num>
  <w:num w:numId="19">
    <w:abstractNumId w:val="41"/>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0"/>
  </w:num>
  <w:num w:numId="28">
    <w:abstractNumId w:val="44"/>
  </w:num>
  <w:num w:numId="29">
    <w:abstractNumId w:val="32"/>
  </w:num>
  <w:num w:numId="30">
    <w:abstractNumId w:val="38"/>
  </w:num>
  <w:num w:numId="31">
    <w:abstractNumId w:val="3"/>
  </w:num>
  <w:num w:numId="32">
    <w:abstractNumId w:val="8"/>
  </w:num>
  <w:num w:numId="33">
    <w:abstractNumId w:val="38"/>
    <w:lvlOverride w:ilvl="0">
      <w:lvl w:ilvl="0" w:tplc="38ACAA3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4EB98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9EC81E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3AA6A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0645EC">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8CDDF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A0FD0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227A5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8293D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3"/>
  </w:num>
  <w:num w:numId="35">
    <w:abstractNumId w:val="20"/>
  </w:num>
  <w:num w:numId="36">
    <w:abstractNumId w:val="6"/>
  </w:num>
  <w:num w:numId="37">
    <w:abstractNumId w:val="15"/>
  </w:num>
  <w:num w:numId="38">
    <w:abstractNumId w:val="3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9"/>
  </w:num>
  <w:num w:numId="41">
    <w:abstractNumId w:val="16"/>
  </w:num>
  <w:num w:numId="42">
    <w:abstractNumId w:val="12"/>
  </w:num>
  <w:num w:numId="43">
    <w:abstractNumId w:val="40"/>
  </w:num>
  <w:num w:numId="44">
    <w:abstractNumId w:val="21"/>
  </w:num>
  <w:num w:numId="45">
    <w:abstractNumId w:val="27"/>
  </w:num>
  <w:num w:numId="46">
    <w:abstractNumId w:val="0"/>
  </w:num>
  <w:num w:numId="47">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0F3A73"/>
    <w:rsid w:val="00131642"/>
    <w:rsid w:val="0015490E"/>
    <w:rsid w:val="00192F14"/>
    <w:rsid w:val="001D5787"/>
    <w:rsid w:val="001F2BAF"/>
    <w:rsid w:val="002803F0"/>
    <w:rsid w:val="002A2A4A"/>
    <w:rsid w:val="002A73E4"/>
    <w:rsid w:val="00304632"/>
    <w:rsid w:val="00346256"/>
    <w:rsid w:val="003B5CA0"/>
    <w:rsid w:val="00423D3F"/>
    <w:rsid w:val="004272E2"/>
    <w:rsid w:val="004509E3"/>
    <w:rsid w:val="00457FB4"/>
    <w:rsid w:val="00497B09"/>
    <w:rsid w:val="004B6EB3"/>
    <w:rsid w:val="004F15F7"/>
    <w:rsid w:val="005112E1"/>
    <w:rsid w:val="005220DA"/>
    <w:rsid w:val="00531FEC"/>
    <w:rsid w:val="005779F0"/>
    <w:rsid w:val="005A2DC7"/>
    <w:rsid w:val="006448DE"/>
    <w:rsid w:val="00667B5D"/>
    <w:rsid w:val="006C7B99"/>
    <w:rsid w:val="006D63B9"/>
    <w:rsid w:val="00725D8B"/>
    <w:rsid w:val="007675A7"/>
    <w:rsid w:val="00775EDB"/>
    <w:rsid w:val="00831F0C"/>
    <w:rsid w:val="00854D70"/>
    <w:rsid w:val="00867A5D"/>
    <w:rsid w:val="00874FE6"/>
    <w:rsid w:val="008838AE"/>
    <w:rsid w:val="008F71E2"/>
    <w:rsid w:val="00931568"/>
    <w:rsid w:val="009376E5"/>
    <w:rsid w:val="00937F5F"/>
    <w:rsid w:val="00942DE0"/>
    <w:rsid w:val="00973757"/>
    <w:rsid w:val="00990F71"/>
    <w:rsid w:val="009C7A7C"/>
    <w:rsid w:val="009E24E2"/>
    <w:rsid w:val="009F0E3F"/>
    <w:rsid w:val="009F5165"/>
    <w:rsid w:val="009F5BA5"/>
    <w:rsid w:val="00A21A97"/>
    <w:rsid w:val="00A35771"/>
    <w:rsid w:val="00A516BF"/>
    <w:rsid w:val="00A66A2E"/>
    <w:rsid w:val="00AA3E8E"/>
    <w:rsid w:val="00AD39CD"/>
    <w:rsid w:val="00B14869"/>
    <w:rsid w:val="00B544C1"/>
    <w:rsid w:val="00BB537E"/>
    <w:rsid w:val="00C00DAA"/>
    <w:rsid w:val="00C121B3"/>
    <w:rsid w:val="00C55E2E"/>
    <w:rsid w:val="00C81940"/>
    <w:rsid w:val="00CD431E"/>
    <w:rsid w:val="00CE6B5E"/>
    <w:rsid w:val="00DA3DBB"/>
    <w:rsid w:val="00DC21D1"/>
    <w:rsid w:val="00E11FAD"/>
    <w:rsid w:val="00E24FB7"/>
    <w:rsid w:val="00E513DC"/>
    <w:rsid w:val="00E7161D"/>
    <w:rsid w:val="00E91B37"/>
    <w:rsid w:val="00F566FB"/>
    <w:rsid w:val="00F7453B"/>
    <w:rsid w:val="00FE36F7"/>
    <w:rsid w:val="00FF4C57"/>
    <w:rsid w:val="00FF4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urp.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mailto:protocollo.roma@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tocollo.istc@pec.cnr.it" TargetMode="External"/><Relationship Id="rId20" Type="http://schemas.openxmlformats.org/officeDocument/2006/relationships/hyperlink" Target="http://www.urp.cnr.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miu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istc.cn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mattiva.it/uri-res/N2Ls?urn:nir:stato:legge:2010-12-30;240~art22"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4.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5.xml><?xml version="1.0" encoding="utf-8"?>
<ds:datastoreItem xmlns:ds="http://schemas.openxmlformats.org/officeDocument/2006/customXml" ds:itemID="{53B61D83-870D-4C27-946B-C53317D9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4379</TotalTime>
  <Pages>1</Pages>
  <Words>6736</Words>
  <Characters>38400</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18</cp:revision>
  <dcterms:created xsi:type="dcterms:W3CDTF">2024-04-11T08:29:00Z</dcterms:created>
  <dcterms:modified xsi:type="dcterms:W3CDTF">2024-07-01T10:01:00Z</dcterms:modified>
</cp:coreProperties>
</file>